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5BE2C" w14:textId="5DF5E51F" w:rsidR="00821E16" w:rsidRDefault="00CF0D06" w:rsidP="00CF0D06">
      <w:pPr>
        <w:widowControl w:val="0"/>
        <w:autoSpaceDE w:val="0"/>
        <w:autoSpaceDN w:val="0"/>
        <w:adjustRightInd w:val="0"/>
        <w:spacing w:line="240" w:lineRule="auto"/>
        <w:jc w:val="both"/>
        <w:rPr>
          <w:rFonts w:ascii="Garamond" w:hAnsi="Garamond" w:cs="Helvetica Neue"/>
          <w:b/>
          <w:bCs/>
        </w:rPr>
      </w:pPr>
      <w:r>
        <w:rPr>
          <w:rFonts w:ascii="Garamond" w:hAnsi="Garamond" w:cs="Helvetica Neue"/>
          <w:b/>
          <w:bCs/>
        </w:rPr>
        <w:t xml:space="preserve">Title: </w:t>
      </w:r>
      <w:r w:rsidR="00BD32A7" w:rsidRPr="00CF0D06">
        <w:rPr>
          <w:rFonts w:ascii="Garamond" w:hAnsi="Garamond" w:cs="Helvetica Neue"/>
          <w:bCs/>
        </w:rPr>
        <w:t>The definition of “</w:t>
      </w:r>
      <w:r w:rsidR="00BD32A7" w:rsidRPr="00CF0D06">
        <w:rPr>
          <w:rFonts w:ascii="Garamond" w:hAnsi="Garamond" w:cs="Helvetica Neue"/>
          <w:bCs/>
          <w:i/>
        </w:rPr>
        <w:t>technical regulation</w:t>
      </w:r>
      <w:r w:rsidR="00BD32A7" w:rsidRPr="00CF0D06">
        <w:rPr>
          <w:rFonts w:ascii="Garamond" w:hAnsi="Garamond" w:cs="Helvetica Neue"/>
          <w:bCs/>
        </w:rPr>
        <w:t xml:space="preserve">” under Annex 1.1. </w:t>
      </w:r>
      <w:proofErr w:type="gramStart"/>
      <w:r w:rsidR="00BD32A7" w:rsidRPr="00CF0D06">
        <w:rPr>
          <w:rFonts w:ascii="Garamond" w:hAnsi="Garamond" w:cs="Helvetica Neue"/>
          <w:bCs/>
        </w:rPr>
        <w:t>of</w:t>
      </w:r>
      <w:proofErr w:type="gramEnd"/>
      <w:r w:rsidR="00BD32A7" w:rsidRPr="00CF0D06">
        <w:rPr>
          <w:rFonts w:ascii="Garamond" w:hAnsi="Garamond" w:cs="Helvetica Neue"/>
          <w:bCs/>
        </w:rPr>
        <w:t xml:space="preserve"> the </w:t>
      </w:r>
      <w:proofErr w:type="spellStart"/>
      <w:r w:rsidR="00BD32A7" w:rsidRPr="00CF0D06">
        <w:rPr>
          <w:rFonts w:ascii="Garamond" w:hAnsi="Garamond" w:cs="Helvetica Neue"/>
          <w:bCs/>
        </w:rPr>
        <w:t>TBT</w:t>
      </w:r>
      <w:proofErr w:type="spellEnd"/>
      <w:r w:rsidR="00BD32A7" w:rsidRPr="00CF0D06">
        <w:rPr>
          <w:rFonts w:ascii="Garamond" w:hAnsi="Garamond" w:cs="Helvetica Neue"/>
          <w:bCs/>
        </w:rPr>
        <w:t xml:space="preserve"> Agreement and t</w:t>
      </w:r>
      <w:r w:rsidR="00821E16" w:rsidRPr="00CF0D06">
        <w:rPr>
          <w:rFonts w:ascii="Garamond" w:hAnsi="Garamond" w:cs="Helvetica Neue"/>
          <w:bCs/>
        </w:rPr>
        <w:t>he relevant distinction between labelling and terminology requirements behind the AB’s rulings in US – Tuna II and EC –</w:t>
      </w:r>
      <w:r w:rsidR="00BD32A7" w:rsidRPr="00CF0D06">
        <w:rPr>
          <w:rFonts w:ascii="Garamond" w:hAnsi="Garamond" w:cs="Helvetica Neue"/>
          <w:bCs/>
        </w:rPr>
        <w:t xml:space="preserve"> Sardines.</w:t>
      </w:r>
    </w:p>
    <w:p w14:paraId="29822FCA" w14:textId="4DA569E6" w:rsidR="00CF0D06" w:rsidRDefault="00CF0D06" w:rsidP="00CF0D06">
      <w:pPr>
        <w:widowControl w:val="0"/>
        <w:autoSpaceDE w:val="0"/>
        <w:autoSpaceDN w:val="0"/>
        <w:adjustRightInd w:val="0"/>
        <w:spacing w:line="240" w:lineRule="auto"/>
        <w:jc w:val="both"/>
        <w:rPr>
          <w:rFonts w:ascii="Garamond" w:hAnsi="Garamond" w:cs="Helvetica Neue"/>
          <w:bCs/>
        </w:rPr>
      </w:pPr>
      <w:r>
        <w:rPr>
          <w:rFonts w:ascii="Garamond" w:hAnsi="Garamond" w:cs="Helvetica Neue"/>
          <w:b/>
          <w:bCs/>
        </w:rPr>
        <w:t xml:space="preserve">Author: </w:t>
      </w:r>
      <w:r>
        <w:rPr>
          <w:rFonts w:ascii="Garamond" w:hAnsi="Garamond" w:cs="Helvetica Neue"/>
          <w:bCs/>
        </w:rPr>
        <w:t xml:space="preserve">Irene de Tovar Hernández. </w:t>
      </w:r>
    </w:p>
    <w:p w14:paraId="7452B420" w14:textId="70BAC025" w:rsidR="00CF0D06" w:rsidRDefault="00CF0D06" w:rsidP="00CF0D06">
      <w:pPr>
        <w:widowControl w:val="0"/>
        <w:autoSpaceDE w:val="0"/>
        <w:autoSpaceDN w:val="0"/>
        <w:adjustRightInd w:val="0"/>
        <w:spacing w:line="240" w:lineRule="auto"/>
        <w:jc w:val="both"/>
        <w:rPr>
          <w:rFonts w:ascii="Garamond" w:hAnsi="Garamond" w:cs="Helvetica Neue"/>
          <w:bCs/>
        </w:rPr>
      </w:pPr>
      <w:r>
        <w:rPr>
          <w:rFonts w:ascii="Garamond" w:hAnsi="Garamond" w:cs="Helvetica Neue"/>
          <w:b/>
          <w:bCs/>
        </w:rPr>
        <w:t xml:space="preserve">Current </w:t>
      </w:r>
      <w:r w:rsidRPr="00CF0D06">
        <w:rPr>
          <w:rFonts w:ascii="Garamond" w:hAnsi="Garamond" w:cs="Helvetica Neue"/>
          <w:b/>
          <w:bCs/>
        </w:rPr>
        <w:t>Institution:</w:t>
      </w:r>
      <w:r>
        <w:rPr>
          <w:rFonts w:ascii="Garamond" w:hAnsi="Garamond" w:cs="Helvetica Neue"/>
          <w:bCs/>
        </w:rPr>
        <w:t xml:space="preserve"> University of Amsterdam (</w:t>
      </w:r>
      <w:proofErr w:type="spellStart"/>
      <w:r>
        <w:rPr>
          <w:rFonts w:ascii="Garamond" w:hAnsi="Garamond" w:cs="Helvetica Neue"/>
          <w:bCs/>
        </w:rPr>
        <w:t>UvA</w:t>
      </w:r>
      <w:proofErr w:type="spellEnd"/>
      <w:r>
        <w:rPr>
          <w:rFonts w:ascii="Garamond" w:hAnsi="Garamond" w:cs="Helvetica Neue"/>
          <w:bCs/>
        </w:rPr>
        <w:t>) - LL.M. Candidate</w:t>
      </w:r>
    </w:p>
    <w:p w14:paraId="36CBEB92" w14:textId="7966B669" w:rsidR="00CF0D06" w:rsidRDefault="00CF0D06" w:rsidP="00CF0D06">
      <w:pPr>
        <w:widowControl w:val="0"/>
        <w:autoSpaceDE w:val="0"/>
        <w:autoSpaceDN w:val="0"/>
        <w:adjustRightInd w:val="0"/>
        <w:spacing w:line="240" w:lineRule="auto"/>
        <w:jc w:val="both"/>
        <w:rPr>
          <w:rFonts w:ascii="Garamond" w:hAnsi="Garamond" w:cs="Helvetica Neue"/>
          <w:bCs/>
        </w:rPr>
      </w:pPr>
      <w:r w:rsidRPr="00CF0D06">
        <w:rPr>
          <w:rFonts w:ascii="Garamond" w:hAnsi="Garamond" w:cs="Helvetica Neue"/>
          <w:b/>
          <w:bCs/>
        </w:rPr>
        <w:t xml:space="preserve">Previous Institution: </w:t>
      </w:r>
      <w:r>
        <w:rPr>
          <w:rFonts w:ascii="Garamond" w:hAnsi="Garamond" w:cs="Helvetica Neue"/>
          <w:bCs/>
        </w:rPr>
        <w:t>Universidad de Barcelona (</w:t>
      </w:r>
      <w:proofErr w:type="spellStart"/>
      <w:r>
        <w:rPr>
          <w:rFonts w:ascii="Garamond" w:hAnsi="Garamond" w:cs="Helvetica Neue"/>
          <w:bCs/>
        </w:rPr>
        <w:t>UB</w:t>
      </w:r>
      <w:proofErr w:type="spellEnd"/>
      <w:r>
        <w:rPr>
          <w:rFonts w:ascii="Garamond" w:hAnsi="Garamond" w:cs="Helvetica Neue"/>
          <w:bCs/>
        </w:rPr>
        <w:t xml:space="preserve">) – </w:t>
      </w:r>
      <w:proofErr w:type="spellStart"/>
      <w:r>
        <w:rPr>
          <w:rFonts w:ascii="Garamond" w:hAnsi="Garamond" w:cs="Helvetica Neue"/>
          <w:bCs/>
        </w:rPr>
        <w:t>Grado</w:t>
      </w:r>
      <w:proofErr w:type="spellEnd"/>
      <w:r>
        <w:rPr>
          <w:rFonts w:ascii="Garamond" w:hAnsi="Garamond" w:cs="Helvetica Neue"/>
          <w:bCs/>
        </w:rPr>
        <w:t xml:space="preserve"> de </w:t>
      </w:r>
      <w:proofErr w:type="spellStart"/>
      <w:r>
        <w:rPr>
          <w:rFonts w:ascii="Garamond" w:hAnsi="Garamond" w:cs="Helvetica Neue"/>
          <w:bCs/>
        </w:rPr>
        <w:t>Derecho</w:t>
      </w:r>
      <w:proofErr w:type="spellEnd"/>
      <w:r>
        <w:rPr>
          <w:rFonts w:ascii="Garamond" w:hAnsi="Garamond" w:cs="Helvetica Neue"/>
          <w:bCs/>
        </w:rPr>
        <w:t xml:space="preserve"> </w:t>
      </w:r>
    </w:p>
    <w:p w14:paraId="610DA5F5" w14:textId="77777777" w:rsidR="00CF0D06" w:rsidRPr="00CF0D06" w:rsidRDefault="00CF0D06" w:rsidP="00CF0D06">
      <w:pPr>
        <w:widowControl w:val="0"/>
        <w:autoSpaceDE w:val="0"/>
        <w:autoSpaceDN w:val="0"/>
        <w:adjustRightInd w:val="0"/>
        <w:spacing w:line="240" w:lineRule="auto"/>
        <w:jc w:val="both"/>
        <w:rPr>
          <w:rFonts w:ascii="Garamond" w:hAnsi="Garamond" w:cs="Helvetica Neue"/>
          <w:bCs/>
        </w:rPr>
      </w:pPr>
    </w:p>
    <w:p w14:paraId="02F07A3B" w14:textId="77777777" w:rsidR="00CF0D06" w:rsidRDefault="00CF0D06" w:rsidP="00821E16">
      <w:pPr>
        <w:widowControl w:val="0"/>
        <w:autoSpaceDE w:val="0"/>
        <w:autoSpaceDN w:val="0"/>
        <w:adjustRightInd w:val="0"/>
        <w:spacing w:after="240" w:line="276" w:lineRule="auto"/>
        <w:jc w:val="both"/>
        <w:rPr>
          <w:rFonts w:ascii="Garamond" w:hAnsi="Garamond" w:cs="Helvetica Neue"/>
          <w:b/>
          <w:bCs/>
        </w:rPr>
        <w:sectPr w:rsidR="00CF0D06" w:rsidSect="00CF0D06">
          <w:footerReference w:type="first" r:id="rId9"/>
          <w:type w:val="continuous"/>
          <w:pgSz w:w="12240" w:h="15840"/>
          <w:pgMar w:top="1417" w:right="1701" w:bottom="1417" w:left="1701" w:header="720" w:footer="720" w:gutter="0"/>
          <w:cols w:space="720"/>
          <w:noEndnote/>
        </w:sectPr>
      </w:pPr>
    </w:p>
    <w:p w14:paraId="64432E6A" w14:textId="42D71462" w:rsidR="00C5084A" w:rsidRDefault="0051181C" w:rsidP="009D2F62">
      <w:pPr>
        <w:widowControl w:val="0"/>
        <w:autoSpaceDE w:val="0"/>
        <w:autoSpaceDN w:val="0"/>
        <w:adjustRightInd w:val="0"/>
        <w:spacing w:after="240" w:line="276" w:lineRule="auto"/>
        <w:jc w:val="both"/>
        <w:rPr>
          <w:rFonts w:ascii="Garamond" w:hAnsi="Garamond" w:cs="Helvetica Neue"/>
        </w:rPr>
      </w:pPr>
      <w:r>
        <w:rPr>
          <w:rFonts w:ascii="Garamond" w:hAnsi="Garamond" w:cs="Helvetica Neue"/>
          <w:b/>
          <w:bCs/>
        </w:rPr>
        <w:lastRenderedPageBreak/>
        <w:t xml:space="preserve">ABSTRACT </w:t>
      </w:r>
      <w:r w:rsidR="00C5084A">
        <w:rPr>
          <w:rFonts w:ascii="Garamond" w:hAnsi="Garamond" w:cs="Helvetica Neue"/>
          <w:bCs/>
        </w:rPr>
        <w:t xml:space="preserve">The distinction between technical regulations and standards has significant implications since the obligations applicable to technical regulations are more stringent. The </w:t>
      </w:r>
      <w:r w:rsidR="00C5084A" w:rsidRPr="00C5084A">
        <w:rPr>
          <w:rFonts w:ascii="Garamond" w:hAnsi="Garamond" w:cs="Helvetica Neue"/>
          <w:bCs/>
          <w:i/>
        </w:rPr>
        <w:t xml:space="preserve">US – Tuna II </w:t>
      </w:r>
      <w:r w:rsidR="00C5084A">
        <w:rPr>
          <w:rFonts w:ascii="Garamond" w:hAnsi="Garamond" w:cs="Helvetica Neue"/>
          <w:bCs/>
        </w:rPr>
        <w:t xml:space="preserve">and the </w:t>
      </w:r>
      <w:r w:rsidR="00C5084A" w:rsidRPr="00C5084A">
        <w:rPr>
          <w:rFonts w:ascii="Garamond" w:hAnsi="Garamond" w:cs="Helvetica Neue"/>
          <w:bCs/>
          <w:i/>
        </w:rPr>
        <w:t>EC – Sardines</w:t>
      </w:r>
      <w:r w:rsidR="00C5084A">
        <w:rPr>
          <w:rFonts w:ascii="Garamond" w:hAnsi="Garamond" w:cs="Helvetica Neue"/>
          <w:bCs/>
        </w:rPr>
        <w:t xml:space="preserve"> cases have been essential to clarify the requirements necessary for a measure to qualify as a technical regulation. </w:t>
      </w:r>
      <w:r w:rsidR="00E71D1C">
        <w:rPr>
          <w:rFonts w:ascii="Garamond" w:hAnsi="Garamond" w:cs="Helvetica Neue"/>
          <w:bCs/>
        </w:rPr>
        <w:t>This paper highlights the distinction between terminology and labelling requirements</w:t>
      </w:r>
      <w:r w:rsidR="009D2F62">
        <w:rPr>
          <w:rFonts w:ascii="Garamond" w:hAnsi="Garamond" w:cs="Helvetica Neue"/>
          <w:bCs/>
        </w:rPr>
        <w:t xml:space="preserve"> based on the previously mentioned rulings</w:t>
      </w:r>
      <w:r w:rsidR="00E71D1C">
        <w:rPr>
          <w:rFonts w:ascii="Garamond" w:hAnsi="Garamond" w:cs="Helvetica Neue"/>
          <w:bCs/>
        </w:rPr>
        <w:t xml:space="preserve">. While </w:t>
      </w:r>
      <w:r w:rsidR="00C5084A" w:rsidRPr="00F527AB">
        <w:rPr>
          <w:rFonts w:ascii="Garamond" w:hAnsi="Garamond" w:cs="Helvetica Neue"/>
        </w:rPr>
        <w:t xml:space="preserve">terminology requirements limit market access and should always be mandatory – </w:t>
      </w:r>
      <w:r w:rsidR="009D2F62">
        <w:rPr>
          <w:rFonts w:ascii="Garamond" w:hAnsi="Garamond" w:cs="Helvetica Neue"/>
        </w:rPr>
        <w:t xml:space="preserve">hence, qualify as a technical regulation </w:t>
      </w:r>
      <w:r w:rsidR="00C5084A" w:rsidRPr="00F527AB">
        <w:rPr>
          <w:rFonts w:ascii="Garamond" w:hAnsi="Garamond" w:cs="Helvetica Neue"/>
        </w:rPr>
        <w:t>–,</w:t>
      </w:r>
      <w:r w:rsidR="009D2F62">
        <w:rPr>
          <w:rFonts w:ascii="Garamond" w:hAnsi="Garamond" w:cs="Helvetica Neue"/>
        </w:rPr>
        <w:t xml:space="preserve"> </w:t>
      </w:r>
      <w:r w:rsidR="00C5084A" w:rsidRPr="00F527AB">
        <w:rPr>
          <w:rFonts w:ascii="Garamond" w:hAnsi="Garamond" w:cs="Helvetica Neue"/>
        </w:rPr>
        <w:t>the impact of labelling and marking on consumers will determine whether a measure limits market access or simply informs consumers of the d</w:t>
      </w:r>
      <w:r w:rsidR="009D2F62">
        <w:rPr>
          <w:rFonts w:ascii="Garamond" w:hAnsi="Garamond" w:cs="Helvetica Neue"/>
        </w:rPr>
        <w:t xml:space="preserve">ifferent choices in the market. In the former case, the labelling and marking requirement will clarify as a technical regulation, whereas in the later it will constitute a standard. </w:t>
      </w:r>
    </w:p>
    <w:p w14:paraId="4E34BE5F" w14:textId="55C765EE" w:rsidR="00527EC6" w:rsidRPr="00527EC6" w:rsidRDefault="00527EC6" w:rsidP="009D2F62">
      <w:pPr>
        <w:widowControl w:val="0"/>
        <w:autoSpaceDE w:val="0"/>
        <w:autoSpaceDN w:val="0"/>
        <w:adjustRightInd w:val="0"/>
        <w:spacing w:after="240" w:line="276" w:lineRule="auto"/>
        <w:jc w:val="both"/>
        <w:rPr>
          <w:rFonts w:ascii="Garamond" w:hAnsi="Garamond" w:cs="Helvetica Neue"/>
          <w:bCs/>
          <w:lang w:val="es-ES_tradnl"/>
        </w:rPr>
      </w:pPr>
      <w:r w:rsidRPr="00527EC6">
        <w:rPr>
          <w:rFonts w:ascii="Garamond" w:hAnsi="Garamond" w:cs="Helvetica Neue"/>
          <w:b/>
          <w:lang w:val="es-ES_tradnl"/>
        </w:rPr>
        <w:t>ABSTRACTO</w:t>
      </w:r>
      <w:r>
        <w:rPr>
          <w:rFonts w:ascii="Garamond" w:hAnsi="Garamond" w:cs="Helvetica Neue"/>
          <w:b/>
          <w:lang w:val="es-ES_tradnl"/>
        </w:rPr>
        <w:t xml:space="preserve"> </w:t>
      </w:r>
      <w:r>
        <w:rPr>
          <w:rFonts w:ascii="Garamond" w:hAnsi="Garamond" w:cs="Helvetica Neue"/>
          <w:lang w:val="es-ES_tradnl"/>
        </w:rPr>
        <w:t xml:space="preserve">La distinción entre regulaciones técnicas y estándares es esencial debido a que las obligaciones aplicables a las regulaciones técnicas son más restrictivas. Las decisiones en los casos </w:t>
      </w:r>
      <w:proofErr w:type="spellStart"/>
      <w:r w:rsidRPr="00821E16">
        <w:rPr>
          <w:rFonts w:ascii="Garamond" w:hAnsi="Garamond" w:cs="Helvetica Neue"/>
          <w:i/>
          <w:lang w:val="es-ES_tradnl"/>
        </w:rPr>
        <w:t>US</w:t>
      </w:r>
      <w:proofErr w:type="spellEnd"/>
      <w:r w:rsidRPr="00821E16">
        <w:rPr>
          <w:rFonts w:ascii="Garamond" w:hAnsi="Garamond" w:cs="Helvetica Neue"/>
          <w:i/>
          <w:lang w:val="es-ES_tradnl"/>
        </w:rPr>
        <w:t xml:space="preserve"> – Tuna II </w:t>
      </w:r>
      <w:r w:rsidRPr="00821E16">
        <w:rPr>
          <w:rFonts w:ascii="Garamond" w:hAnsi="Garamond" w:cs="Helvetica Neue"/>
          <w:lang w:val="es-ES_tradnl"/>
        </w:rPr>
        <w:t xml:space="preserve">y </w:t>
      </w:r>
      <w:proofErr w:type="spellStart"/>
      <w:r w:rsidRPr="00821E16">
        <w:rPr>
          <w:rFonts w:ascii="Garamond" w:hAnsi="Garamond" w:cs="Helvetica Neue"/>
          <w:i/>
          <w:lang w:val="es-ES_tradnl"/>
        </w:rPr>
        <w:t>EC</w:t>
      </w:r>
      <w:proofErr w:type="spellEnd"/>
      <w:r w:rsidRPr="00821E16">
        <w:rPr>
          <w:rFonts w:ascii="Garamond" w:hAnsi="Garamond" w:cs="Helvetica Neue"/>
          <w:i/>
          <w:lang w:val="es-ES_tradnl"/>
        </w:rPr>
        <w:t xml:space="preserve"> – </w:t>
      </w:r>
      <w:proofErr w:type="spellStart"/>
      <w:r w:rsidRPr="00821E16">
        <w:rPr>
          <w:rFonts w:ascii="Garamond" w:hAnsi="Garamond" w:cs="Helvetica Neue"/>
          <w:i/>
          <w:lang w:val="es-ES_tradnl"/>
        </w:rPr>
        <w:t>Sardines</w:t>
      </w:r>
      <w:proofErr w:type="spellEnd"/>
      <w:r>
        <w:rPr>
          <w:rFonts w:ascii="Garamond" w:hAnsi="Garamond" w:cs="Helvetica Neue"/>
          <w:lang w:val="es-ES_tradnl"/>
        </w:rPr>
        <w:t xml:space="preserve"> han resultado </w:t>
      </w:r>
      <w:r>
        <w:rPr>
          <w:rFonts w:ascii="Garamond" w:hAnsi="Garamond" w:cs="Helvetica Neue"/>
          <w:lang w:val="es-ES_tradnl"/>
        </w:rPr>
        <w:lastRenderedPageBreak/>
        <w:t xml:space="preserve">esenciales para </w:t>
      </w:r>
      <w:r w:rsidR="0023305F">
        <w:rPr>
          <w:rFonts w:ascii="Garamond" w:hAnsi="Garamond" w:cs="Helvetica Neue"/>
          <w:lang w:val="es-ES_tradnl"/>
        </w:rPr>
        <w:t>determinar qué</w:t>
      </w:r>
      <w:r>
        <w:rPr>
          <w:rFonts w:ascii="Garamond" w:hAnsi="Garamond" w:cs="Helvetica Neue"/>
          <w:lang w:val="es-ES_tradnl"/>
        </w:rPr>
        <w:t xml:space="preserve"> medidas adoptadas por Miembros de la OMC </w:t>
      </w:r>
      <w:r w:rsidR="0023305F">
        <w:rPr>
          <w:rFonts w:ascii="Garamond" w:hAnsi="Garamond" w:cs="Helvetica Neue"/>
          <w:lang w:val="es-ES_tradnl"/>
        </w:rPr>
        <w:t xml:space="preserve">califican como </w:t>
      </w:r>
      <w:r>
        <w:rPr>
          <w:rFonts w:ascii="Garamond" w:hAnsi="Garamond" w:cs="Helvetica Neue"/>
          <w:lang w:val="es-ES_tradnl"/>
        </w:rPr>
        <w:t xml:space="preserve">regulaciones técnicas. Este artículo resalta la distinción entre requisitos terminológicos y requisitos de etiquetado basándose en las decisiones previamente mencionadas. Mientras que los requisitos terminológicos limitan acceso al mercado y siempre  deberían ser obligatorios – y, por ende, calificar como regulación técnica –, el impacto que el etiquetado tiene en los consumidores determinará si una medida limita el acceso al mercado o simplemente informa a los consumidores de las distintas opciones en el mercado. Mientras que en el primer de los casos,  el requisito de etiquetado debe ser considerado como regulación técnica, en el segundo constituirá un estándar. </w:t>
      </w:r>
    </w:p>
    <w:p w14:paraId="1AF8E530" w14:textId="41F2D8A2" w:rsidR="00527EC6" w:rsidRPr="00527EC6" w:rsidRDefault="009C6421" w:rsidP="00527EC6">
      <w:pPr>
        <w:widowControl w:val="0"/>
        <w:autoSpaceDE w:val="0"/>
        <w:autoSpaceDN w:val="0"/>
        <w:adjustRightInd w:val="0"/>
        <w:spacing w:after="240" w:line="276" w:lineRule="auto"/>
        <w:jc w:val="both"/>
        <w:rPr>
          <w:rFonts w:ascii="Garamond" w:hAnsi="Garamond" w:cs="Helvetica Neue"/>
          <w:bCs/>
        </w:rPr>
      </w:pPr>
      <w:proofErr w:type="gramStart"/>
      <w:r>
        <w:rPr>
          <w:rFonts w:ascii="Garamond" w:hAnsi="Garamond" w:cs="Helvetica Neue"/>
          <w:b/>
          <w:bCs/>
        </w:rPr>
        <w:t xml:space="preserve">KEY WORDS </w:t>
      </w:r>
      <w:proofErr w:type="spellStart"/>
      <w:r>
        <w:rPr>
          <w:rFonts w:ascii="Garamond" w:hAnsi="Garamond" w:cs="Helvetica Neue"/>
          <w:bCs/>
        </w:rPr>
        <w:t>TBT</w:t>
      </w:r>
      <w:proofErr w:type="spellEnd"/>
      <w:r>
        <w:rPr>
          <w:rFonts w:ascii="Garamond" w:hAnsi="Garamond" w:cs="Helvetica Neue"/>
          <w:bCs/>
        </w:rPr>
        <w:t xml:space="preserve"> Agreement, Technical Regulations, Standards, Appellate Body Report, Related and Non-Related Process and Production Methods.</w:t>
      </w:r>
      <w:proofErr w:type="gramEnd"/>
      <w:r>
        <w:rPr>
          <w:rFonts w:ascii="Garamond" w:hAnsi="Garamond" w:cs="Helvetica Neue"/>
          <w:bCs/>
        </w:rPr>
        <w:t xml:space="preserve"> </w:t>
      </w:r>
    </w:p>
    <w:p w14:paraId="597D3289" w14:textId="6AF899AD" w:rsidR="00527EC6" w:rsidRDefault="00527EC6" w:rsidP="00527EC6">
      <w:pPr>
        <w:widowControl w:val="0"/>
        <w:autoSpaceDE w:val="0"/>
        <w:autoSpaceDN w:val="0"/>
        <w:adjustRightInd w:val="0"/>
        <w:spacing w:after="240" w:line="276" w:lineRule="auto"/>
        <w:jc w:val="both"/>
        <w:rPr>
          <w:rFonts w:ascii="Garamond" w:hAnsi="Garamond" w:cs="Helvetica Neue"/>
          <w:b/>
          <w:bCs/>
        </w:rPr>
        <w:sectPr w:rsidR="00527EC6" w:rsidSect="009D2F62">
          <w:type w:val="continuous"/>
          <w:pgSz w:w="12240" w:h="15840"/>
          <w:pgMar w:top="1417" w:right="1701" w:bottom="1417" w:left="1701" w:header="720" w:footer="720" w:gutter="0"/>
          <w:cols w:num="2" w:space="720"/>
          <w:noEndnote/>
        </w:sectPr>
      </w:pPr>
      <w:proofErr w:type="spellStart"/>
      <w:r>
        <w:rPr>
          <w:rFonts w:ascii="Garamond" w:hAnsi="Garamond" w:cs="Helvetica Neue"/>
          <w:b/>
          <w:bCs/>
        </w:rPr>
        <w:t>PALABRAS</w:t>
      </w:r>
      <w:proofErr w:type="spellEnd"/>
      <w:r>
        <w:rPr>
          <w:rFonts w:ascii="Garamond" w:hAnsi="Garamond" w:cs="Helvetica Neue"/>
          <w:b/>
          <w:bCs/>
        </w:rPr>
        <w:t xml:space="preserve"> CLAVE</w:t>
      </w:r>
      <w:r w:rsidR="00821E16">
        <w:rPr>
          <w:rFonts w:ascii="Garamond" w:hAnsi="Garamond" w:cs="Helvetica Neue"/>
          <w:bCs/>
        </w:rPr>
        <w:t xml:space="preserve"> </w:t>
      </w:r>
      <w:r w:rsidRPr="00527EC6">
        <w:rPr>
          <w:rFonts w:ascii="Garamond" w:hAnsi="Garamond" w:cs="Helvetica Neue"/>
          <w:bCs/>
          <w:lang w:val="es-ES_tradnl"/>
        </w:rPr>
        <w:t>Acuerdo TBT, Regulaciones Técnicas, Estándares, Decisión del órgano de apelación de la OMC, Procesos y Métodos de Producción relacionados y no relaciones con el product</w:t>
      </w:r>
      <w:r w:rsidR="00821E16">
        <w:rPr>
          <w:rFonts w:ascii="Garamond" w:hAnsi="Garamond" w:cs="Helvetica Neue"/>
          <w:bCs/>
          <w:lang w:val="es-ES_tradnl"/>
        </w:rPr>
        <w:t>o</w:t>
      </w:r>
      <w:r w:rsidRPr="00527EC6">
        <w:rPr>
          <w:rFonts w:ascii="Garamond" w:hAnsi="Garamond" w:cs="Helvetica Neue"/>
          <w:bCs/>
          <w:lang w:val="es-ES_tradnl"/>
        </w:rPr>
        <w:t xml:space="preserve">. </w:t>
      </w:r>
    </w:p>
    <w:p w14:paraId="34C85942" w14:textId="77777777" w:rsidR="009D2F62" w:rsidRDefault="009D2F62" w:rsidP="001E566E">
      <w:pPr>
        <w:widowControl w:val="0"/>
        <w:autoSpaceDE w:val="0"/>
        <w:autoSpaceDN w:val="0"/>
        <w:adjustRightInd w:val="0"/>
        <w:spacing w:after="240" w:line="276" w:lineRule="auto"/>
        <w:rPr>
          <w:rFonts w:ascii="Garamond" w:hAnsi="Garamond" w:cs="Helvetica Neue"/>
          <w:b/>
          <w:bCs/>
        </w:rPr>
      </w:pPr>
    </w:p>
    <w:p w14:paraId="34AC5A32" w14:textId="77777777" w:rsidR="00CF0D06" w:rsidRDefault="00CF0D06" w:rsidP="001E566E">
      <w:pPr>
        <w:widowControl w:val="0"/>
        <w:autoSpaceDE w:val="0"/>
        <w:autoSpaceDN w:val="0"/>
        <w:adjustRightInd w:val="0"/>
        <w:spacing w:after="240" w:line="276" w:lineRule="auto"/>
        <w:rPr>
          <w:rFonts w:ascii="Garamond" w:hAnsi="Garamond" w:cs="Helvetica Neue"/>
          <w:b/>
          <w:bCs/>
        </w:rPr>
      </w:pPr>
    </w:p>
    <w:p w14:paraId="4EF72E41" w14:textId="77777777" w:rsidR="00850C0A" w:rsidRDefault="00850C0A" w:rsidP="00CF0D06">
      <w:pPr>
        <w:widowControl w:val="0"/>
        <w:autoSpaceDE w:val="0"/>
        <w:autoSpaceDN w:val="0"/>
        <w:adjustRightInd w:val="0"/>
        <w:spacing w:line="240" w:lineRule="auto"/>
        <w:rPr>
          <w:rFonts w:ascii="Garamond" w:hAnsi="Garamond" w:cs="Helvetica Neue"/>
          <w:b/>
          <w:bCs/>
        </w:rPr>
      </w:pPr>
    </w:p>
    <w:p w14:paraId="5A8C608D" w14:textId="50522C50" w:rsidR="009C6421" w:rsidRDefault="0051181C" w:rsidP="00CF0D06">
      <w:pPr>
        <w:widowControl w:val="0"/>
        <w:autoSpaceDE w:val="0"/>
        <w:autoSpaceDN w:val="0"/>
        <w:adjustRightInd w:val="0"/>
        <w:spacing w:line="240" w:lineRule="auto"/>
        <w:rPr>
          <w:rFonts w:ascii="Garamond" w:hAnsi="Garamond" w:cs="Helvetica Neue"/>
          <w:b/>
          <w:bCs/>
        </w:rPr>
      </w:pPr>
      <w:r>
        <w:rPr>
          <w:rFonts w:ascii="Garamond" w:hAnsi="Garamond" w:cs="Helvetica Neue"/>
          <w:b/>
          <w:bCs/>
        </w:rPr>
        <w:lastRenderedPageBreak/>
        <w:t xml:space="preserve">LIST OF ABBREVIATIONS </w:t>
      </w:r>
    </w:p>
    <w:p w14:paraId="53C493FF" w14:textId="77777777" w:rsidR="00D06F84" w:rsidRDefault="00D06F84" w:rsidP="00CF0D06">
      <w:pPr>
        <w:widowControl w:val="0"/>
        <w:autoSpaceDE w:val="0"/>
        <w:autoSpaceDN w:val="0"/>
        <w:adjustRightInd w:val="0"/>
        <w:spacing w:line="240" w:lineRule="auto"/>
        <w:rPr>
          <w:rFonts w:ascii="Garamond" w:hAnsi="Garamond" w:cs="Helvetica Neue"/>
          <w:b/>
          <w:bCs/>
        </w:rPr>
      </w:pPr>
    </w:p>
    <w:tbl>
      <w:tblPr>
        <w:tblStyle w:val="Tablaconcuadrcula"/>
        <w:tblpPr w:leftFromText="141" w:rightFromText="141" w:vertAnchor="text" w:horzAnchor="page" w:tblpX="1630" w:tblpY="170"/>
        <w:tblW w:w="8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3085"/>
        <w:gridCol w:w="1415"/>
        <w:gridCol w:w="2986"/>
      </w:tblGrid>
      <w:tr w:rsidR="00CF0D06" w14:paraId="10934666" w14:textId="77777777" w:rsidTr="00CF0D06">
        <w:tc>
          <w:tcPr>
            <w:tcW w:w="1384" w:type="dxa"/>
          </w:tcPr>
          <w:p w14:paraId="087BEB18" w14:textId="77777777" w:rsidR="00CF0D06" w:rsidRPr="009C6421" w:rsidRDefault="00CF0D06" w:rsidP="00CF0D06">
            <w:pPr>
              <w:widowControl w:val="0"/>
              <w:autoSpaceDE w:val="0"/>
              <w:autoSpaceDN w:val="0"/>
              <w:adjustRightInd w:val="0"/>
              <w:spacing w:line="240" w:lineRule="auto"/>
              <w:ind w:left="142"/>
              <w:rPr>
                <w:rFonts w:ascii="Garamond" w:hAnsi="Garamond" w:cs="Helvetica Neue"/>
                <w:bCs/>
              </w:rPr>
            </w:pPr>
            <w:r w:rsidRPr="009C6421">
              <w:rPr>
                <w:rFonts w:ascii="Garamond" w:hAnsi="Garamond" w:cs="Helvetica Neue"/>
                <w:bCs/>
              </w:rPr>
              <w:t>AB</w:t>
            </w:r>
          </w:p>
        </w:tc>
        <w:tc>
          <w:tcPr>
            <w:tcW w:w="3119" w:type="dxa"/>
          </w:tcPr>
          <w:p w14:paraId="14F6A654" w14:textId="77777777" w:rsidR="00CF0D06" w:rsidRPr="009C6421" w:rsidRDefault="00CF0D06" w:rsidP="00CF0D06">
            <w:pPr>
              <w:widowControl w:val="0"/>
              <w:autoSpaceDE w:val="0"/>
              <w:autoSpaceDN w:val="0"/>
              <w:adjustRightInd w:val="0"/>
              <w:spacing w:line="240" w:lineRule="auto"/>
              <w:ind w:left="142"/>
              <w:rPr>
                <w:rFonts w:ascii="Garamond" w:hAnsi="Garamond" w:cs="Helvetica Neue"/>
                <w:bCs/>
              </w:rPr>
            </w:pPr>
            <w:r>
              <w:rPr>
                <w:rFonts w:ascii="Garamond" w:hAnsi="Garamond" w:cs="Helvetica Neue"/>
                <w:bCs/>
              </w:rPr>
              <w:t>Appellate Body</w:t>
            </w:r>
          </w:p>
        </w:tc>
        <w:tc>
          <w:tcPr>
            <w:tcW w:w="1417" w:type="dxa"/>
          </w:tcPr>
          <w:p w14:paraId="5557973E" w14:textId="77777777" w:rsidR="00CF0D06" w:rsidRPr="009C6421" w:rsidRDefault="00CF0D06" w:rsidP="00CF0D06">
            <w:pPr>
              <w:widowControl w:val="0"/>
              <w:autoSpaceDE w:val="0"/>
              <w:autoSpaceDN w:val="0"/>
              <w:adjustRightInd w:val="0"/>
              <w:spacing w:line="240" w:lineRule="auto"/>
              <w:ind w:left="142"/>
              <w:rPr>
                <w:rFonts w:ascii="Garamond" w:hAnsi="Garamond" w:cs="Helvetica Neue"/>
                <w:bCs/>
              </w:rPr>
            </w:pPr>
            <w:proofErr w:type="spellStart"/>
            <w:r>
              <w:rPr>
                <w:rFonts w:ascii="Garamond" w:hAnsi="Garamond" w:cs="Helvetica Neue"/>
                <w:bCs/>
              </w:rPr>
              <w:t>PPMS</w:t>
            </w:r>
            <w:proofErr w:type="spellEnd"/>
          </w:p>
        </w:tc>
        <w:tc>
          <w:tcPr>
            <w:tcW w:w="3058" w:type="dxa"/>
          </w:tcPr>
          <w:p w14:paraId="1C51FE3E" w14:textId="29A32C6D" w:rsidR="00CF0D06" w:rsidRPr="009C6421" w:rsidRDefault="00CF0D06" w:rsidP="00CF0D06">
            <w:pPr>
              <w:widowControl w:val="0"/>
              <w:autoSpaceDE w:val="0"/>
              <w:autoSpaceDN w:val="0"/>
              <w:adjustRightInd w:val="0"/>
              <w:spacing w:line="240" w:lineRule="auto"/>
              <w:ind w:left="142"/>
              <w:rPr>
                <w:rFonts w:ascii="Garamond" w:hAnsi="Garamond" w:cs="Helvetica Neue"/>
                <w:bCs/>
              </w:rPr>
            </w:pPr>
            <w:r>
              <w:rPr>
                <w:rFonts w:ascii="Garamond" w:hAnsi="Garamond" w:cs="Helvetica Neue"/>
                <w:bCs/>
              </w:rPr>
              <w:t>Process and Production Methods</w:t>
            </w:r>
          </w:p>
        </w:tc>
      </w:tr>
      <w:tr w:rsidR="00CF0D06" w14:paraId="0EB0AFE8" w14:textId="77777777" w:rsidTr="00CF0D06">
        <w:tc>
          <w:tcPr>
            <w:tcW w:w="1384" w:type="dxa"/>
          </w:tcPr>
          <w:p w14:paraId="7D008188" w14:textId="77777777" w:rsidR="00CF0D06" w:rsidRPr="009C6421" w:rsidRDefault="00CF0D06" w:rsidP="00CF0D06">
            <w:pPr>
              <w:widowControl w:val="0"/>
              <w:autoSpaceDE w:val="0"/>
              <w:autoSpaceDN w:val="0"/>
              <w:adjustRightInd w:val="0"/>
              <w:spacing w:line="240" w:lineRule="auto"/>
              <w:ind w:left="142"/>
              <w:rPr>
                <w:rFonts w:ascii="Garamond" w:hAnsi="Garamond" w:cs="Helvetica Neue"/>
                <w:bCs/>
              </w:rPr>
            </w:pPr>
            <w:proofErr w:type="spellStart"/>
            <w:r w:rsidRPr="009C6421">
              <w:rPr>
                <w:rFonts w:ascii="Garamond" w:hAnsi="Garamond" w:cs="Helvetica Neue"/>
                <w:bCs/>
              </w:rPr>
              <w:t>ABR</w:t>
            </w:r>
            <w:proofErr w:type="spellEnd"/>
          </w:p>
        </w:tc>
        <w:tc>
          <w:tcPr>
            <w:tcW w:w="3119" w:type="dxa"/>
          </w:tcPr>
          <w:p w14:paraId="17762D61" w14:textId="77777777" w:rsidR="00CF0D06" w:rsidRPr="009C6421" w:rsidRDefault="00CF0D06" w:rsidP="00CF0D06">
            <w:pPr>
              <w:widowControl w:val="0"/>
              <w:autoSpaceDE w:val="0"/>
              <w:autoSpaceDN w:val="0"/>
              <w:adjustRightInd w:val="0"/>
              <w:spacing w:line="240" w:lineRule="auto"/>
              <w:ind w:left="142"/>
              <w:rPr>
                <w:rFonts w:ascii="Garamond" w:hAnsi="Garamond" w:cs="Helvetica Neue"/>
                <w:bCs/>
              </w:rPr>
            </w:pPr>
            <w:r>
              <w:rPr>
                <w:rFonts w:ascii="Garamond" w:hAnsi="Garamond" w:cs="Helvetica Neue"/>
                <w:bCs/>
              </w:rPr>
              <w:t>Appellate Body Report</w:t>
            </w:r>
          </w:p>
        </w:tc>
        <w:tc>
          <w:tcPr>
            <w:tcW w:w="1417" w:type="dxa"/>
          </w:tcPr>
          <w:p w14:paraId="2BB7962A" w14:textId="77777777" w:rsidR="00CF0D06" w:rsidRPr="009C6421" w:rsidRDefault="00CF0D06" w:rsidP="00CF0D06">
            <w:pPr>
              <w:widowControl w:val="0"/>
              <w:autoSpaceDE w:val="0"/>
              <w:autoSpaceDN w:val="0"/>
              <w:adjustRightInd w:val="0"/>
              <w:spacing w:line="240" w:lineRule="auto"/>
              <w:ind w:left="142"/>
              <w:rPr>
                <w:rFonts w:ascii="Garamond" w:hAnsi="Garamond" w:cs="Helvetica Neue"/>
                <w:bCs/>
              </w:rPr>
            </w:pPr>
            <w:r>
              <w:rPr>
                <w:rFonts w:ascii="Garamond" w:hAnsi="Garamond" w:cs="Helvetica Neue"/>
                <w:bCs/>
              </w:rPr>
              <w:t>OECD</w:t>
            </w:r>
          </w:p>
        </w:tc>
        <w:tc>
          <w:tcPr>
            <w:tcW w:w="3058" w:type="dxa"/>
          </w:tcPr>
          <w:p w14:paraId="3D089E60" w14:textId="77777777" w:rsidR="00CF0D06" w:rsidRPr="009C6421" w:rsidRDefault="00CF0D06" w:rsidP="00CF0D06">
            <w:pPr>
              <w:widowControl w:val="0"/>
              <w:autoSpaceDE w:val="0"/>
              <w:autoSpaceDN w:val="0"/>
              <w:adjustRightInd w:val="0"/>
              <w:spacing w:line="240" w:lineRule="auto"/>
              <w:ind w:left="142"/>
              <w:rPr>
                <w:rFonts w:ascii="Garamond" w:hAnsi="Garamond" w:cs="Helvetica Neue"/>
                <w:bCs/>
              </w:rPr>
            </w:pPr>
            <w:r>
              <w:rPr>
                <w:rFonts w:ascii="Garamond" w:hAnsi="Garamond" w:cs="Helvetica Neue"/>
                <w:bCs/>
              </w:rPr>
              <w:t>Organisation for Economic Co-operation and Development</w:t>
            </w:r>
          </w:p>
        </w:tc>
      </w:tr>
      <w:tr w:rsidR="00CF0D06" w14:paraId="0410FBF6" w14:textId="77777777" w:rsidTr="00CF0D06">
        <w:tc>
          <w:tcPr>
            <w:tcW w:w="1384" w:type="dxa"/>
          </w:tcPr>
          <w:p w14:paraId="2B590164" w14:textId="77777777" w:rsidR="00CF0D06" w:rsidRPr="009C6421" w:rsidRDefault="00CF0D06" w:rsidP="00CF0D06">
            <w:pPr>
              <w:widowControl w:val="0"/>
              <w:autoSpaceDE w:val="0"/>
              <w:autoSpaceDN w:val="0"/>
              <w:adjustRightInd w:val="0"/>
              <w:spacing w:line="240" w:lineRule="auto"/>
              <w:ind w:left="142"/>
              <w:rPr>
                <w:rFonts w:ascii="Garamond" w:hAnsi="Garamond" w:cs="Helvetica Neue"/>
                <w:bCs/>
              </w:rPr>
            </w:pPr>
            <w:r>
              <w:rPr>
                <w:rFonts w:ascii="Garamond" w:hAnsi="Garamond" w:cs="Helvetica Neue"/>
                <w:bCs/>
              </w:rPr>
              <w:t>Art</w:t>
            </w:r>
            <w:proofErr w:type="gramStart"/>
            <w:r>
              <w:rPr>
                <w:rFonts w:ascii="Garamond" w:hAnsi="Garamond" w:cs="Helvetica Neue"/>
                <w:bCs/>
              </w:rPr>
              <w:t>./</w:t>
            </w:r>
            <w:proofErr w:type="gramEnd"/>
            <w:r>
              <w:rPr>
                <w:rFonts w:ascii="Garamond" w:hAnsi="Garamond" w:cs="Helvetica Neue"/>
                <w:bCs/>
              </w:rPr>
              <w:t>Arts.</w:t>
            </w:r>
          </w:p>
        </w:tc>
        <w:tc>
          <w:tcPr>
            <w:tcW w:w="3119" w:type="dxa"/>
          </w:tcPr>
          <w:p w14:paraId="10973651" w14:textId="77777777" w:rsidR="00CF0D06" w:rsidRDefault="00CF0D06" w:rsidP="00CF0D06">
            <w:pPr>
              <w:widowControl w:val="0"/>
              <w:autoSpaceDE w:val="0"/>
              <w:autoSpaceDN w:val="0"/>
              <w:adjustRightInd w:val="0"/>
              <w:spacing w:line="240" w:lineRule="auto"/>
              <w:ind w:left="142"/>
              <w:rPr>
                <w:rFonts w:ascii="Garamond" w:hAnsi="Garamond" w:cs="Helvetica Neue"/>
                <w:bCs/>
              </w:rPr>
            </w:pPr>
            <w:r>
              <w:rPr>
                <w:rFonts w:ascii="Garamond" w:hAnsi="Garamond" w:cs="Helvetica Neue"/>
                <w:bCs/>
              </w:rPr>
              <w:t>Article/Articles</w:t>
            </w:r>
          </w:p>
        </w:tc>
        <w:tc>
          <w:tcPr>
            <w:tcW w:w="1417" w:type="dxa"/>
          </w:tcPr>
          <w:p w14:paraId="140B84DD" w14:textId="77777777" w:rsidR="00CF0D06" w:rsidRPr="009C6421" w:rsidRDefault="00CF0D06" w:rsidP="00CF0D06">
            <w:pPr>
              <w:widowControl w:val="0"/>
              <w:autoSpaceDE w:val="0"/>
              <w:autoSpaceDN w:val="0"/>
              <w:adjustRightInd w:val="0"/>
              <w:spacing w:line="240" w:lineRule="auto"/>
              <w:ind w:left="142"/>
              <w:rPr>
                <w:rFonts w:ascii="Garamond" w:hAnsi="Garamond" w:cs="Helvetica Neue"/>
                <w:bCs/>
              </w:rPr>
            </w:pPr>
            <w:proofErr w:type="spellStart"/>
            <w:r>
              <w:rPr>
                <w:rFonts w:ascii="Garamond" w:hAnsi="Garamond" w:cs="Helvetica Neue"/>
                <w:bCs/>
              </w:rPr>
              <w:t>TBT</w:t>
            </w:r>
            <w:proofErr w:type="spellEnd"/>
            <w:r>
              <w:rPr>
                <w:rFonts w:ascii="Garamond" w:hAnsi="Garamond" w:cs="Helvetica Neue"/>
                <w:bCs/>
              </w:rPr>
              <w:t xml:space="preserve"> Agreement</w:t>
            </w:r>
          </w:p>
        </w:tc>
        <w:tc>
          <w:tcPr>
            <w:tcW w:w="3058" w:type="dxa"/>
          </w:tcPr>
          <w:p w14:paraId="18F4D80C" w14:textId="77777777" w:rsidR="00CF0D06" w:rsidRPr="009C6421" w:rsidRDefault="00CF0D06" w:rsidP="00CF0D06">
            <w:pPr>
              <w:widowControl w:val="0"/>
              <w:autoSpaceDE w:val="0"/>
              <w:autoSpaceDN w:val="0"/>
              <w:adjustRightInd w:val="0"/>
              <w:spacing w:line="240" w:lineRule="auto"/>
              <w:ind w:left="142"/>
              <w:rPr>
                <w:rFonts w:ascii="Garamond" w:hAnsi="Garamond" w:cs="Helvetica Neue"/>
                <w:bCs/>
              </w:rPr>
            </w:pPr>
            <w:r>
              <w:rPr>
                <w:rFonts w:ascii="Garamond" w:hAnsi="Garamond" w:cs="Helvetica Neue"/>
                <w:bCs/>
              </w:rPr>
              <w:t xml:space="preserve">WTO </w:t>
            </w:r>
            <w:r w:rsidRPr="009C6421">
              <w:rPr>
                <w:rFonts w:ascii="Garamond" w:hAnsi="Garamond" w:cs="Helvetica Neue"/>
                <w:bCs/>
              </w:rPr>
              <w:t>Agreement on Technical Barriers to Trade</w:t>
            </w:r>
          </w:p>
        </w:tc>
      </w:tr>
      <w:tr w:rsidR="00CF0D06" w14:paraId="6E7EEDF9" w14:textId="77777777" w:rsidTr="00CF0D06">
        <w:tc>
          <w:tcPr>
            <w:tcW w:w="1384" w:type="dxa"/>
          </w:tcPr>
          <w:p w14:paraId="1A9EB74E" w14:textId="77777777" w:rsidR="00CF0D06" w:rsidRDefault="00CF0D06" w:rsidP="00CF0D06">
            <w:pPr>
              <w:widowControl w:val="0"/>
              <w:autoSpaceDE w:val="0"/>
              <w:autoSpaceDN w:val="0"/>
              <w:adjustRightInd w:val="0"/>
              <w:spacing w:line="240" w:lineRule="auto"/>
              <w:ind w:left="142"/>
              <w:rPr>
                <w:rFonts w:ascii="Garamond" w:hAnsi="Garamond" w:cs="Helvetica Neue"/>
                <w:bCs/>
              </w:rPr>
            </w:pPr>
            <w:r w:rsidRPr="009C6421">
              <w:rPr>
                <w:rFonts w:ascii="Garamond" w:hAnsi="Garamond" w:cs="Helvetica Neue"/>
                <w:bCs/>
              </w:rPr>
              <w:t>EC</w:t>
            </w:r>
          </w:p>
        </w:tc>
        <w:tc>
          <w:tcPr>
            <w:tcW w:w="3119" w:type="dxa"/>
          </w:tcPr>
          <w:p w14:paraId="55EAE1E2" w14:textId="77777777" w:rsidR="00CF0D06" w:rsidRDefault="00CF0D06" w:rsidP="00CF0D06">
            <w:pPr>
              <w:widowControl w:val="0"/>
              <w:autoSpaceDE w:val="0"/>
              <w:autoSpaceDN w:val="0"/>
              <w:adjustRightInd w:val="0"/>
              <w:spacing w:line="240" w:lineRule="auto"/>
              <w:ind w:left="142"/>
              <w:rPr>
                <w:rFonts w:ascii="Garamond" w:hAnsi="Garamond" w:cs="Helvetica Neue"/>
                <w:bCs/>
              </w:rPr>
            </w:pPr>
            <w:r>
              <w:rPr>
                <w:rFonts w:ascii="Garamond" w:hAnsi="Garamond" w:cs="Helvetica Neue"/>
                <w:bCs/>
              </w:rPr>
              <w:t>European Communities</w:t>
            </w:r>
          </w:p>
        </w:tc>
        <w:tc>
          <w:tcPr>
            <w:tcW w:w="1417" w:type="dxa"/>
          </w:tcPr>
          <w:p w14:paraId="2EE87DEF" w14:textId="77777777" w:rsidR="00CF0D06" w:rsidRPr="009C6421" w:rsidRDefault="00CF0D06" w:rsidP="00CF0D06">
            <w:pPr>
              <w:widowControl w:val="0"/>
              <w:autoSpaceDE w:val="0"/>
              <w:autoSpaceDN w:val="0"/>
              <w:adjustRightInd w:val="0"/>
              <w:spacing w:line="240" w:lineRule="auto"/>
              <w:ind w:left="142"/>
              <w:rPr>
                <w:rFonts w:ascii="Garamond" w:hAnsi="Garamond" w:cs="Helvetica Neue"/>
                <w:bCs/>
              </w:rPr>
            </w:pPr>
          </w:p>
        </w:tc>
        <w:tc>
          <w:tcPr>
            <w:tcW w:w="3058" w:type="dxa"/>
          </w:tcPr>
          <w:p w14:paraId="283403B5" w14:textId="77777777" w:rsidR="00CF0D06" w:rsidRPr="009C6421" w:rsidRDefault="00CF0D06" w:rsidP="00CF0D06">
            <w:pPr>
              <w:widowControl w:val="0"/>
              <w:autoSpaceDE w:val="0"/>
              <w:autoSpaceDN w:val="0"/>
              <w:adjustRightInd w:val="0"/>
              <w:spacing w:line="240" w:lineRule="auto"/>
              <w:ind w:left="142"/>
              <w:rPr>
                <w:rFonts w:ascii="Garamond" w:hAnsi="Garamond" w:cs="Helvetica Neue"/>
                <w:bCs/>
              </w:rPr>
            </w:pPr>
          </w:p>
        </w:tc>
      </w:tr>
      <w:tr w:rsidR="00CF0D06" w14:paraId="2FF132F3" w14:textId="77777777" w:rsidTr="00CF0D06">
        <w:tc>
          <w:tcPr>
            <w:tcW w:w="1384" w:type="dxa"/>
          </w:tcPr>
          <w:p w14:paraId="167C64A4" w14:textId="77777777" w:rsidR="00CF0D06" w:rsidRPr="009C6421" w:rsidRDefault="00CF0D06" w:rsidP="00CF0D06">
            <w:pPr>
              <w:widowControl w:val="0"/>
              <w:autoSpaceDE w:val="0"/>
              <w:autoSpaceDN w:val="0"/>
              <w:adjustRightInd w:val="0"/>
              <w:spacing w:line="240" w:lineRule="auto"/>
              <w:ind w:left="142"/>
              <w:rPr>
                <w:rFonts w:ascii="Garamond" w:hAnsi="Garamond" w:cs="Helvetica Neue"/>
                <w:bCs/>
              </w:rPr>
            </w:pPr>
            <w:r>
              <w:rPr>
                <w:rFonts w:ascii="Garamond" w:hAnsi="Garamond" w:cs="Helvetica Neue"/>
                <w:bCs/>
              </w:rPr>
              <w:t>Para</w:t>
            </w:r>
            <w:proofErr w:type="gramStart"/>
            <w:r>
              <w:rPr>
                <w:rFonts w:ascii="Garamond" w:hAnsi="Garamond" w:cs="Helvetica Neue"/>
                <w:bCs/>
              </w:rPr>
              <w:t>./</w:t>
            </w:r>
            <w:proofErr w:type="spellStart"/>
            <w:proofErr w:type="gramEnd"/>
            <w:r>
              <w:rPr>
                <w:rFonts w:ascii="Garamond" w:hAnsi="Garamond" w:cs="Helvetica Neue"/>
                <w:bCs/>
              </w:rPr>
              <w:t>Paras</w:t>
            </w:r>
            <w:proofErr w:type="spellEnd"/>
            <w:r>
              <w:rPr>
                <w:rFonts w:ascii="Garamond" w:hAnsi="Garamond" w:cs="Helvetica Neue"/>
                <w:bCs/>
              </w:rPr>
              <w:t>.</w:t>
            </w:r>
          </w:p>
        </w:tc>
        <w:tc>
          <w:tcPr>
            <w:tcW w:w="3119" w:type="dxa"/>
          </w:tcPr>
          <w:p w14:paraId="3D2DB2BB" w14:textId="77777777" w:rsidR="00CF0D06" w:rsidRDefault="00CF0D06" w:rsidP="00CF0D06">
            <w:pPr>
              <w:widowControl w:val="0"/>
              <w:autoSpaceDE w:val="0"/>
              <w:autoSpaceDN w:val="0"/>
              <w:adjustRightInd w:val="0"/>
              <w:spacing w:line="240" w:lineRule="auto"/>
              <w:ind w:left="142"/>
              <w:rPr>
                <w:rFonts w:ascii="Garamond" w:hAnsi="Garamond" w:cs="Helvetica Neue"/>
                <w:bCs/>
              </w:rPr>
            </w:pPr>
            <w:r>
              <w:rPr>
                <w:rFonts w:ascii="Garamond" w:hAnsi="Garamond" w:cs="Helvetica Neue"/>
                <w:bCs/>
              </w:rPr>
              <w:t>Paragraph/Paragraphs</w:t>
            </w:r>
          </w:p>
        </w:tc>
        <w:tc>
          <w:tcPr>
            <w:tcW w:w="1417" w:type="dxa"/>
          </w:tcPr>
          <w:p w14:paraId="1D2E90E5" w14:textId="77777777" w:rsidR="00CF0D06" w:rsidRPr="009C6421" w:rsidRDefault="00CF0D06" w:rsidP="00CF0D06">
            <w:pPr>
              <w:widowControl w:val="0"/>
              <w:autoSpaceDE w:val="0"/>
              <w:autoSpaceDN w:val="0"/>
              <w:adjustRightInd w:val="0"/>
              <w:spacing w:line="240" w:lineRule="auto"/>
              <w:ind w:left="142"/>
              <w:rPr>
                <w:rFonts w:ascii="Garamond" w:hAnsi="Garamond" w:cs="Helvetica Neue"/>
                <w:bCs/>
              </w:rPr>
            </w:pPr>
          </w:p>
        </w:tc>
        <w:tc>
          <w:tcPr>
            <w:tcW w:w="3058" w:type="dxa"/>
          </w:tcPr>
          <w:p w14:paraId="1E795651" w14:textId="77777777" w:rsidR="00CF0D06" w:rsidRPr="009C6421" w:rsidRDefault="00CF0D06" w:rsidP="00CF0D06">
            <w:pPr>
              <w:widowControl w:val="0"/>
              <w:autoSpaceDE w:val="0"/>
              <w:autoSpaceDN w:val="0"/>
              <w:adjustRightInd w:val="0"/>
              <w:spacing w:line="240" w:lineRule="auto"/>
              <w:ind w:left="142"/>
              <w:rPr>
                <w:rFonts w:ascii="Garamond" w:hAnsi="Garamond" w:cs="Helvetica Neue"/>
                <w:bCs/>
              </w:rPr>
            </w:pPr>
          </w:p>
        </w:tc>
      </w:tr>
      <w:tr w:rsidR="00CF0D06" w14:paraId="0F16C059" w14:textId="77777777" w:rsidTr="00CF0D06">
        <w:tc>
          <w:tcPr>
            <w:tcW w:w="1384" w:type="dxa"/>
          </w:tcPr>
          <w:p w14:paraId="533C5FBB" w14:textId="77777777" w:rsidR="00CF0D06" w:rsidRDefault="00CF0D06" w:rsidP="00CF0D06">
            <w:pPr>
              <w:widowControl w:val="0"/>
              <w:autoSpaceDE w:val="0"/>
              <w:autoSpaceDN w:val="0"/>
              <w:adjustRightInd w:val="0"/>
              <w:spacing w:line="240" w:lineRule="auto"/>
              <w:ind w:left="142"/>
              <w:rPr>
                <w:rFonts w:ascii="Garamond" w:hAnsi="Garamond" w:cs="Helvetica Neue"/>
                <w:bCs/>
              </w:rPr>
            </w:pPr>
            <w:r w:rsidRPr="009C6421">
              <w:rPr>
                <w:rFonts w:ascii="Garamond" w:hAnsi="Garamond" w:cs="Helvetica Neue"/>
                <w:bCs/>
              </w:rPr>
              <w:t>NPR-</w:t>
            </w:r>
            <w:proofErr w:type="spellStart"/>
            <w:r w:rsidRPr="009C6421">
              <w:rPr>
                <w:rFonts w:ascii="Garamond" w:hAnsi="Garamond" w:cs="Helvetica Neue"/>
                <w:bCs/>
              </w:rPr>
              <w:t>PPMS</w:t>
            </w:r>
            <w:proofErr w:type="spellEnd"/>
          </w:p>
        </w:tc>
        <w:tc>
          <w:tcPr>
            <w:tcW w:w="3119" w:type="dxa"/>
          </w:tcPr>
          <w:p w14:paraId="4E315F66" w14:textId="77777777" w:rsidR="00CF0D06" w:rsidRDefault="00CF0D06" w:rsidP="00CF0D06">
            <w:pPr>
              <w:widowControl w:val="0"/>
              <w:autoSpaceDE w:val="0"/>
              <w:autoSpaceDN w:val="0"/>
              <w:adjustRightInd w:val="0"/>
              <w:spacing w:line="240" w:lineRule="auto"/>
              <w:ind w:left="142"/>
              <w:rPr>
                <w:rFonts w:ascii="Garamond" w:hAnsi="Garamond" w:cs="Helvetica Neue"/>
                <w:bCs/>
              </w:rPr>
            </w:pPr>
            <w:r>
              <w:rPr>
                <w:rFonts w:ascii="Garamond" w:hAnsi="Garamond" w:cs="Helvetica Neue"/>
              </w:rPr>
              <w:t>Non-product-related Process and Production M</w:t>
            </w:r>
            <w:r w:rsidRPr="00F527AB">
              <w:rPr>
                <w:rFonts w:ascii="Garamond" w:hAnsi="Garamond" w:cs="Helvetica Neue"/>
              </w:rPr>
              <w:t>ethods</w:t>
            </w:r>
          </w:p>
        </w:tc>
        <w:tc>
          <w:tcPr>
            <w:tcW w:w="1417" w:type="dxa"/>
          </w:tcPr>
          <w:p w14:paraId="5725BD6C" w14:textId="77777777" w:rsidR="00CF0D06" w:rsidRPr="009C6421" w:rsidRDefault="00CF0D06" w:rsidP="00CF0D06">
            <w:pPr>
              <w:widowControl w:val="0"/>
              <w:autoSpaceDE w:val="0"/>
              <w:autoSpaceDN w:val="0"/>
              <w:adjustRightInd w:val="0"/>
              <w:spacing w:line="240" w:lineRule="auto"/>
              <w:ind w:left="142"/>
              <w:rPr>
                <w:rFonts w:ascii="Garamond" w:hAnsi="Garamond" w:cs="Helvetica Neue"/>
                <w:bCs/>
              </w:rPr>
            </w:pPr>
          </w:p>
        </w:tc>
        <w:tc>
          <w:tcPr>
            <w:tcW w:w="3058" w:type="dxa"/>
          </w:tcPr>
          <w:p w14:paraId="5DE0AB41" w14:textId="77777777" w:rsidR="00CF0D06" w:rsidRPr="009C6421" w:rsidRDefault="00CF0D06" w:rsidP="00CF0D06">
            <w:pPr>
              <w:widowControl w:val="0"/>
              <w:autoSpaceDE w:val="0"/>
              <w:autoSpaceDN w:val="0"/>
              <w:adjustRightInd w:val="0"/>
              <w:spacing w:line="240" w:lineRule="auto"/>
              <w:ind w:left="142"/>
              <w:rPr>
                <w:rFonts w:ascii="Garamond" w:hAnsi="Garamond" w:cs="Helvetica Neue"/>
                <w:bCs/>
              </w:rPr>
            </w:pPr>
          </w:p>
        </w:tc>
      </w:tr>
    </w:tbl>
    <w:p w14:paraId="03CE0D92" w14:textId="77777777" w:rsidR="00CF0D06" w:rsidRDefault="00CF0D06" w:rsidP="001E566E">
      <w:pPr>
        <w:widowControl w:val="0"/>
        <w:autoSpaceDE w:val="0"/>
        <w:autoSpaceDN w:val="0"/>
        <w:adjustRightInd w:val="0"/>
        <w:spacing w:after="240" w:line="276" w:lineRule="auto"/>
        <w:rPr>
          <w:rFonts w:ascii="Garamond" w:hAnsi="Garamond" w:cs="Helvetica Neue"/>
          <w:b/>
          <w:bCs/>
        </w:rPr>
      </w:pPr>
    </w:p>
    <w:p w14:paraId="7E703E14" w14:textId="3FB31FF0" w:rsidR="00F527AB" w:rsidRPr="00C5084A" w:rsidRDefault="00F527AB" w:rsidP="00F527AB">
      <w:pPr>
        <w:pStyle w:val="Prrafodelista"/>
        <w:widowControl w:val="0"/>
        <w:numPr>
          <w:ilvl w:val="0"/>
          <w:numId w:val="1"/>
        </w:numPr>
        <w:autoSpaceDE w:val="0"/>
        <w:autoSpaceDN w:val="0"/>
        <w:adjustRightInd w:val="0"/>
        <w:spacing w:after="240" w:line="276" w:lineRule="auto"/>
        <w:rPr>
          <w:rFonts w:ascii="Garamond" w:hAnsi="Garamond" w:cs="Helvetica Neue"/>
          <w:b/>
          <w:sz w:val="30"/>
          <w:szCs w:val="30"/>
        </w:rPr>
      </w:pPr>
      <w:r w:rsidRPr="00C5084A">
        <w:rPr>
          <w:rFonts w:ascii="Garamond" w:hAnsi="Garamond" w:cs="Helvetica Neue"/>
          <w:b/>
          <w:sz w:val="30"/>
          <w:szCs w:val="30"/>
        </w:rPr>
        <w:t>Introduction</w:t>
      </w:r>
      <w:r w:rsidR="0001680B" w:rsidRPr="00C5084A">
        <w:rPr>
          <w:rFonts w:ascii="Garamond" w:hAnsi="Garamond" w:cs="Helvetica Neue"/>
          <w:b/>
          <w:sz w:val="30"/>
          <w:szCs w:val="30"/>
        </w:rPr>
        <w:t xml:space="preserve"> </w:t>
      </w:r>
    </w:p>
    <w:p w14:paraId="4C8A4196" w14:textId="7589B7BC" w:rsidR="00C5084A" w:rsidRDefault="00CF0D06" w:rsidP="009D2F62">
      <w:pPr>
        <w:widowControl w:val="0"/>
        <w:autoSpaceDE w:val="0"/>
        <w:autoSpaceDN w:val="0"/>
        <w:adjustRightInd w:val="0"/>
        <w:spacing w:after="200" w:line="276" w:lineRule="auto"/>
        <w:jc w:val="both"/>
        <w:rPr>
          <w:rFonts w:ascii="Garamond" w:hAnsi="Garamond" w:cs="Helvetica Neue"/>
        </w:rPr>
      </w:pPr>
      <w:r w:rsidRPr="00F527AB">
        <w:rPr>
          <w:rFonts w:ascii="Garamond" w:hAnsi="Garamond" w:cs="Helvetica Neue"/>
        </w:rPr>
        <w:t xml:space="preserve"> </w:t>
      </w:r>
      <w:r w:rsidR="00F527AB" w:rsidRPr="00F527AB">
        <w:rPr>
          <w:rFonts w:ascii="Garamond" w:hAnsi="Garamond" w:cs="Helvetica Neue"/>
        </w:rPr>
        <w:t>The WTO Uruguay Round Agreement on Technical Barriers to Trade (“</w:t>
      </w:r>
      <w:proofErr w:type="spellStart"/>
      <w:r w:rsidR="00F527AB" w:rsidRPr="00F527AB">
        <w:rPr>
          <w:rFonts w:ascii="Garamond" w:hAnsi="Garamond" w:cs="Helvetica Neue"/>
          <w:b/>
          <w:bCs/>
        </w:rPr>
        <w:t>TBT</w:t>
      </w:r>
      <w:proofErr w:type="spellEnd"/>
      <w:r w:rsidR="00F527AB" w:rsidRPr="00F527AB">
        <w:rPr>
          <w:rFonts w:ascii="Garamond" w:hAnsi="Garamond" w:cs="Helvetica Neue"/>
          <w:b/>
          <w:bCs/>
        </w:rPr>
        <w:t xml:space="preserve"> Agreement</w:t>
      </w:r>
      <w:r w:rsidR="00F527AB" w:rsidRPr="00F527AB">
        <w:rPr>
          <w:rFonts w:ascii="Garamond" w:hAnsi="Garamond" w:cs="Helvetica Neue"/>
        </w:rPr>
        <w:t>”)</w:t>
      </w:r>
      <w:r w:rsidR="00850C0A">
        <w:rPr>
          <w:rStyle w:val="Refdenotaalpie"/>
          <w:rFonts w:ascii="Garamond" w:hAnsi="Garamond" w:cs="Helvetica Neue"/>
        </w:rPr>
        <w:footnoteReference w:id="1"/>
      </w:r>
      <w:r w:rsidR="00F527AB" w:rsidRPr="00F527AB">
        <w:rPr>
          <w:rFonts w:ascii="Garamond" w:hAnsi="Garamond" w:cs="Helvetica Neue"/>
        </w:rPr>
        <w:t xml:space="preserve"> entered into force on 1 January 1995 and it is the multilateral successor to the Standards Code, signed by 32 GATT contracting parties at the Tokyo Round of Trade Negotiations in 1979. It forms part of the Uruguay Round’s “single undertaking”. The </w:t>
      </w:r>
      <w:proofErr w:type="spellStart"/>
      <w:r w:rsidR="00F527AB" w:rsidRPr="00F527AB">
        <w:rPr>
          <w:rFonts w:ascii="Garamond" w:hAnsi="Garamond" w:cs="Helvetica Neue"/>
        </w:rPr>
        <w:t>TBT</w:t>
      </w:r>
      <w:proofErr w:type="spellEnd"/>
      <w:r w:rsidR="00F527AB" w:rsidRPr="00F527AB">
        <w:rPr>
          <w:rFonts w:ascii="Garamond" w:hAnsi="Garamond" w:cs="Helvetica Neue"/>
        </w:rPr>
        <w:t xml:space="preserve"> Agreement</w:t>
      </w:r>
      <w:r w:rsidR="00F43ED3">
        <w:rPr>
          <w:rFonts w:ascii="Garamond" w:hAnsi="Garamond" w:cs="Helvetica Neue"/>
        </w:rPr>
        <w:t xml:space="preserve"> aims at respecting WTO Members’</w:t>
      </w:r>
      <w:r w:rsidR="00F527AB" w:rsidRPr="00F527AB">
        <w:rPr>
          <w:rFonts w:ascii="Garamond" w:hAnsi="Garamond" w:cs="Helvetica Neue"/>
        </w:rPr>
        <w:t xml:space="preserve"> discretion to choose an adequate regulatory level to protect human, animal and plant life and health, national security, the environment, consumers and other policy interests while assuring that technical regulations, standards and conformity assessment procedures do not create unnecessary obstacles t</w:t>
      </w:r>
      <w:r w:rsidR="0001680B">
        <w:rPr>
          <w:rFonts w:ascii="Garamond" w:hAnsi="Garamond" w:cs="Helvetica Neue"/>
        </w:rPr>
        <w:t xml:space="preserve">o international trade. </w:t>
      </w:r>
    </w:p>
    <w:p w14:paraId="67F40C0F" w14:textId="77777777" w:rsidR="009D2F62" w:rsidRPr="009D2F62" w:rsidRDefault="009D2F62" w:rsidP="009D2F62">
      <w:pPr>
        <w:widowControl w:val="0"/>
        <w:autoSpaceDE w:val="0"/>
        <w:autoSpaceDN w:val="0"/>
        <w:adjustRightInd w:val="0"/>
        <w:spacing w:after="200" w:line="276" w:lineRule="auto"/>
        <w:jc w:val="both"/>
        <w:rPr>
          <w:rFonts w:ascii="Garamond" w:hAnsi="Garamond" w:cs="Helvetica Neue"/>
          <w:sz w:val="20"/>
        </w:rPr>
      </w:pPr>
    </w:p>
    <w:p w14:paraId="6B0848D0" w14:textId="17A0DE10" w:rsidR="0001680B" w:rsidRPr="00CF0D06" w:rsidRDefault="0001680B" w:rsidP="00CF0D06">
      <w:pPr>
        <w:pStyle w:val="Prrafodelista"/>
        <w:widowControl w:val="0"/>
        <w:numPr>
          <w:ilvl w:val="0"/>
          <w:numId w:val="1"/>
        </w:numPr>
        <w:autoSpaceDE w:val="0"/>
        <w:autoSpaceDN w:val="0"/>
        <w:adjustRightInd w:val="0"/>
        <w:spacing w:after="200" w:line="276" w:lineRule="auto"/>
        <w:jc w:val="both"/>
        <w:rPr>
          <w:rFonts w:ascii="Garamond" w:hAnsi="Garamond" w:cs="Helvetica Neue"/>
          <w:b/>
          <w:sz w:val="30"/>
          <w:szCs w:val="30"/>
        </w:rPr>
      </w:pPr>
      <w:r w:rsidRPr="00CF0D06">
        <w:rPr>
          <w:rFonts w:ascii="Garamond" w:hAnsi="Garamond" w:cs="Helvetica Neue"/>
          <w:b/>
          <w:sz w:val="30"/>
          <w:szCs w:val="30"/>
        </w:rPr>
        <w:t xml:space="preserve">The definition of technical regulations under </w:t>
      </w:r>
      <w:proofErr w:type="spellStart"/>
      <w:r w:rsidRPr="00CF0D06">
        <w:rPr>
          <w:rFonts w:ascii="Garamond" w:hAnsi="Garamond" w:cs="Helvetica Neue"/>
          <w:b/>
          <w:sz w:val="30"/>
          <w:szCs w:val="30"/>
        </w:rPr>
        <w:t>TBT</w:t>
      </w:r>
      <w:proofErr w:type="spellEnd"/>
      <w:r w:rsidRPr="00CF0D06">
        <w:rPr>
          <w:rFonts w:ascii="Garamond" w:hAnsi="Garamond" w:cs="Helvetica Neue"/>
          <w:b/>
          <w:sz w:val="30"/>
          <w:szCs w:val="30"/>
        </w:rPr>
        <w:t xml:space="preserve"> Agreement Annex 1.1</w:t>
      </w:r>
    </w:p>
    <w:p w14:paraId="330A8817" w14:textId="472CD55A" w:rsidR="00F527AB" w:rsidRPr="0001680B" w:rsidRDefault="0001680B" w:rsidP="009D2F62">
      <w:pPr>
        <w:widowControl w:val="0"/>
        <w:autoSpaceDE w:val="0"/>
        <w:autoSpaceDN w:val="0"/>
        <w:adjustRightInd w:val="0"/>
        <w:spacing w:after="200" w:line="276" w:lineRule="auto"/>
        <w:jc w:val="both"/>
        <w:rPr>
          <w:rFonts w:ascii="Garamond" w:hAnsi="Garamond" w:cs="Helvetica Neue"/>
        </w:rPr>
      </w:pPr>
      <w:r w:rsidRPr="0001680B">
        <w:rPr>
          <w:rFonts w:ascii="Garamond" w:hAnsi="Garamond" w:cs="Helvetica Neue"/>
        </w:rPr>
        <w:t>T</w:t>
      </w:r>
      <w:r w:rsidR="00F527AB" w:rsidRPr="0001680B">
        <w:rPr>
          <w:rFonts w:ascii="Garamond" w:hAnsi="Garamond" w:cs="Helvetica Neue"/>
        </w:rPr>
        <w:t xml:space="preserve">he </w:t>
      </w:r>
      <w:proofErr w:type="spellStart"/>
      <w:r w:rsidR="00F527AB" w:rsidRPr="0001680B">
        <w:rPr>
          <w:rFonts w:ascii="Garamond" w:hAnsi="Garamond" w:cs="Helvetica Neue"/>
        </w:rPr>
        <w:t>TBT</w:t>
      </w:r>
      <w:proofErr w:type="spellEnd"/>
      <w:r w:rsidR="00F527AB" w:rsidRPr="0001680B">
        <w:rPr>
          <w:rFonts w:ascii="Garamond" w:hAnsi="Garamond" w:cs="Helvetica Neue"/>
        </w:rPr>
        <w:t xml:space="preserve"> Agreement covers three types of measure</w:t>
      </w:r>
      <w:r w:rsidR="00850C0A">
        <w:rPr>
          <w:rFonts w:ascii="Garamond" w:hAnsi="Garamond" w:cs="Helvetica Neue"/>
        </w:rPr>
        <w:t>, namely technical regulations</w:t>
      </w:r>
      <w:r w:rsidR="00850C0A">
        <w:rPr>
          <w:rStyle w:val="Refdenotaalpie"/>
          <w:rFonts w:ascii="Garamond" w:hAnsi="Garamond" w:cs="Helvetica Neue"/>
        </w:rPr>
        <w:footnoteReference w:id="2"/>
      </w:r>
      <w:r w:rsidR="00850C0A">
        <w:rPr>
          <w:rFonts w:ascii="Garamond" w:hAnsi="Garamond" w:cs="Helvetica Neue"/>
        </w:rPr>
        <w:t>, standards</w:t>
      </w:r>
      <w:r w:rsidR="00850C0A">
        <w:rPr>
          <w:rStyle w:val="Refdenotaalpie"/>
          <w:rFonts w:ascii="Garamond" w:hAnsi="Garamond" w:cs="Helvetica Neue"/>
        </w:rPr>
        <w:footnoteReference w:id="3"/>
      </w:r>
      <w:r w:rsidR="00850C0A">
        <w:rPr>
          <w:rFonts w:ascii="Garamond" w:hAnsi="Garamond" w:cs="Helvetica Neue"/>
        </w:rPr>
        <w:t xml:space="preserve"> and conformity assessment procedures</w:t>
      </w:r>
      <w:r w:rsidR="002C574B">
        <w:rPr>
          <w:rFonts w:ascii="Garamond" w:hAnsi="Garamond" w:cs="Helvetica Neue"/>
        </w:rPr>
        <w:t xml:space="preserve"> relating to products (including industrial and agricultural products); and processes and production methods </w:t>
      </w:r>
      <w:r w:rsidR="002C574B" w:rsidRPr="00F527AB">
        <w:rPr>
          <w:rFonts w:ascii="Garamond" w:hAnsi="Garamond" w:cs="Helvetica Neue"/>
        </w:rPr>
        <w:t>(“</w:t>
      </w:r>
      <w:proofErr w:type="spellStart"/>
      <w:r w:rsidR="002C574B" w:rsidRPr="00F527AB">
        <w:rPr>
          <w:rFonts w:ascii="Garamond" w:hAnsi="Garamond" w:cs="Helvetica Neue"/>
          <w:b/>
          <w:bCs/>
        </w:rPr>
        <w:t>PPMS</w:t>
      </w:r>
      <w:proofErr w:type="spellEnd"/>
      <w:r w:rsidR="002C574B" w:rsidRPr="00F527AB">
        <w:rPr>
          <w:rFonts w:ascii="Garamond" w:hAnsi="Garamond" w:cs="Helvetica Neue"/>
        </w:rPr>
        <w:t>”)</w:t>
      </w:r>
      <w:r w:rsidR="00F527AB" w:rsidRPr="0001680B">
        <w:rPr>
          <w:rFonts w:ascii="Garamond" w:hAnsi="Garamond" w:cs="Helvetica Neue"/>
        </w:rPr>
        <w:t>.</w:t>
      </w:r>
      <w:r w:rsidR="002C574B">
        <w:rPr>
          <w:rStyle w:val="Refdenotaalpie"/>
          <w:rFonts w:ascii="Garamond" w:hAnsi="Garamond" w:cs="Helvetica Neue"/>
        </w:rPr>
        <w:footnoteReference w:id="4"/>
      </w:r>
      <w:r w:rsidR="00F527AB" w:rsidRPr="0001680B">
        <w:rPr>
          <w:rFonts w:ascii="Garamond" w:hAnsi="Garamond" w:cs="Helvetica Neue"/>
        </w:rPr>
        <w:t xml:space="preserve"> The distinction between two of them, technical regulations and standards, is not always clear-cut but has significant implications as more stringent obligations apply to technical regulations. Annex 1.1 of the </w:t>
      </w:r>
      <w:proofErr w:type="spellStart"/>
      <w:r w:rsidR="00F527AB" w:rsidRPr="0001680B">
        <w:rPr>
          <w:rFonts w:ascii="Garamond" w:hAnsi="Garamond" w:cs="Helvetica Neue"/>
        </w:rPr>
        <w:t>TBT</w:t>
      </w:r>
      <w:proofErr w:type="spellEnd"/>
      <w:r w:rsidR="00F527AB" w:rsidRPr="0001680B">
        <w:rPr>
          <w:rFonts w:ascii="Garamond" w:hAnsi="Garamond" w:cs="Helvetica Neue"/>
        </w:rPr>
        <w:t xml:space="preserve"> Agreement contains the definition of “technical regulation”.</w:t>
      </w:r>
    </w:p>
    <w:p w14:paraId="3613B9E4" w14:textId="77777777" w:rsidR="00F527AB" w:rsidRPr="00F527AB" w:rsidRDefault="00F527AB" w:rsidP="009D2F62">
      <w:pPr>
        <w:widowControl w:val="0"/>
        <w:autoSpaceDE w:val="0"/>
        <w:autoSpaceDN w:val="0"/>
        <w:adjustRightInd w:val="0"/>
        <w:spacing w:after="200" w:line="276" w:lineRule="auto"/>
        <w:jc w:val="both"/>
        <w:rPr>
          <w:rFonts w:ascii="Garamond" w:hAnsi="Garamond" w:cs="Helvetica Neue"/>
        </w:rPr>
      </w:pPr>
      <w:r w:rsidRPr="00F527AB">
        <w:rPr>
          <w:rFonts w:ascii="Garamond" w:hAnsi="Garamond" w:cs="Helvetica Neue"/>
          <w:vertAlign w:val="superscript"/>
        </w:rPr>
        <w:t> </w:t>
      </w:r>
      <w:r w:rsidRPr="00F527AB">
        <w:rPr>
          <w:rFonts w:ascii="Garamond" w:hAnsi="Garamond" w:cs="Helvetica Neue"/>
        </w:rPr>
        <w:t xml:space="preserve">Pursuant to paragraph 1 of Annex 1 of the </w:t>
      </w:r>
      <w:proofErr w:type="spellStart"/>
      <w:r w:rsidRPr="00F527AB">
        <w:rPr>
          <w:rFonts w:ascii="Garamond" w:hAnsi="Garamond" w:cs="Helvetica Neue"/>
        </w:rPr>
        <w:t>TBT</w:t>
      </w:r>
      <w:proofErr w:type="spellEnd"/>
      <w:r w:rsidRPr="00F527AB">
        <w:rPr>
          <w:rFonts w:ascii="Garamond" w:hAnsi="Garamond" w:cs="Helvetica Neue"/>
        </w:rPr>
        <w:t xml:space="preserve"> Agreement a “technical regulation” is a:</w:t>
      </w:r>
    </w:p>
    <w:p w14:paraId="515CDC4A" w14:textId="05E32141" w:rsidR="00F5608D" w:rsidRDefault="00F527AB" w:rsidP="009D2F62">
      <w:pPr>
        <w:widowControl w:val="0"/>
        <w:autoSpaceDE w:val="0"/>
        <w:autoSpaceDN w:val="0"/>
        <w:adjustRightInd w:val="0"/>
        <w:spacing w:after="200" w:line="276" w:lineRule="auto"/>
        <w:ind w:left="708"/>
        <w:jc w:val="both"/>
        <w:rPr>
          <w:rFonts w:ascii="Garamond" w:hAnsi="Garamond" w:cs="Helvetica Neue"/>
        </w:rPr>
      </w:pPr>
      <w:r w:rsidRPr="00F527AB">
        <w:rPr>
          <w:rFonts w:ascii="Garamond" w:hAnsi="Garamond" w:cs="Helvetica Neue"/>
        </w:rPr>
        <w:t>“</w:t>
      </w:r>
      <w:r w:rsidRPr="00854772">
        <w:rPr>
          <w:rFonts w:ascii="Garamond" w:hAnsi="Garamond" w:cs="Helvetica Neue"/>
          <w:i/>
        </w:rPr>
        <w:t>Document which lays down product characteristics or their related processes and production methods, including the applicable administrative provisions, with which compliance is mandatory. It may also include or deal exclusively with terminology, symbols, packaging, marking or labelling requirements as they apply to a product, process or production method</w:t>
      </w:r>
      <w:r w:rsidRPr="00F527AB">
        <w:rPr>
          <w:rFonts w:ascii="Garamond" w:hAnsi="Garamond" w:cs="Helvetica Neue"/>
        </w:rPr>
        <w:t>”.</w:t>
      </w:r>
    </w:p>
    <w:p w14:paraId="27B1ED0E" w14:textId="2ABDC6DA" w:rsidR="009D2F62" w:rsidRDefault="00F527AB" w:rsidP="009D2F62">
      <w:pPr>
        <w:widowControl w:val="0"/>
        <w:autoSpaceDE w:val="0"/>
        <w:autoSpaceDN w:val="0"/>
        <w:adjustRightInd w:val="0"/>
        <w:spacing w:after="200" w:line="276" w:lineRule="auto"/>
        <w:jc w:val="both"/>
        <w:rPr>
          <w:rFonts w:ascii="Garamond" w:hAnsi="Garamond" w:cs="Helvetica Neue"/>
        </w:rPr>
      </w:pPr>
      <w:r w:rsidRPr="00F527AB">
        <w:rPr>
          <w:rFonts w:ascii="Garamond" w:hAnsi="Garamond" w:cs="Helvetica Neue"/>
        </w:rPr>
        <w:t xml:space="preserve">In </w:t>
      </w:r>
      <w:r w:rsidRPr="00F527AB">
        <w:rPr>
          <w:rFonts w:ascii="Garamond" w:hAnsi="Garamond" w:cs="Helvetica Neue"/>
          <w:i/>
          <w:iCs/>
        </w:rPr>
        <w:t>EC – Sardines</w:t>
      </w:r>
      <w:r>
        <w:rPr>
          <w:rStyle w:val="Refdenotaalpie"/>
          <w:rFonts w:ascii="Garamond" w:hAnsi="Garamond" w:cs="Helvetica Neue"/>
          <w:i/>
          <w:iCs/>
        </w:rPr>
        <w:footnoteReference w:id="5"/>
      </w:r>
      <w:r w:rsidRPr="00F527AB">
        <w:rPr>
          <w:rFonts w:ascii="Garamond" w:hAnsi="Garamond" w:cs="Helvetica Neue"/>
          <w:b/>
          <w:bCs/>
          <w:i/>
          <w:iCs/>
        </w:rPr>
        <w:t>, </w:t>
      </w:r>
      <w:r w:rsidRPr="00F527AB">
        <w:rPr>
          <w:rFonts w:ascii="Garamond" w:hAnsi="Garamond" w:cs="Helvetica Neue"/>
        </w:rPr>
        <w:t xml:space="preserve">referring to its previous report in </w:t>
      </w:r>
      <w:r w:rsidRPr="00F527AB">
        <w:rPr>
          <w:rFonts w:ascii="Garamond" w:hAnsi="Garamond" w:cs="Helvetica Neue"/>
          <w:i/>
          <w:iCs/>
        </w:rPr>
        <w:t>EC – Asbestos</w:t>
      </w:r>
      <w:r w:rsidRPr="00F527AB">
        <w:rPr>
          <w:rFonts w:ascii="Garamond" w:hAnsi="Garamond" w:cs="Helvetica Neue"/>
        </w:rPr>
        <w:t>, the Appellate Body (“</w:t>
      </w:r>
      <w:r w:rsidRPr="009D2F62">
        <w:rPr>
          <w:rFonts w:ascii="Garamond" w:hAnsi="Garamond" w:cs="Helvetica Neue"/>
          <w:b/>
          <w:bCs/>
          <w:iCs/>
        </w:rPr>
        <w:t>AB</w:t>
      </w:r>
      <w:r w:rsidRPr="00F527AB">
        <w:rPr>
          <w:rFonts w:ascii="Garamond" w:hAnsi="Garamond" w:cs="Helvetica Neue"/>
        </w:rPr>
        <w:t>”) developed a three-tier test to determine whether a measure qualifies as a “</w:t>
      </w:r>
      <w:r w:rsidRPr="00F527AB">
        <w:rPr>
          <w:rFonts w:ascii="Garamond" w:hAnsi="Garamond" w:cs="Helvetica Neue"/>
          <w:i/>
          <w:iCs/>
        </w:rPr>
        <w:t>technical regulation”. </w:t>
      </w:r>
      <w:r w:rsidRPr="00F527AB">
        <w:rPr>
          <w:rFonts w:ascii="Garamond" w:hAnsi="Garamond" w:cs="Helvetica Neue"/>
        </w:rPr>
        <w:t>This article will focus on the second and the third elements namely (</w:t>
      </w:r>
      <w:proofErr w:type="spellStart"/>
      <w:r w:rsidRPr="00F527AB">
        <w:rPr>
          <w:rFonts w:ascii="Garamond" w:hAnsi="Garamond" w:cs="Helvetica Neue"/>
        </w:rPr>
        <w:t>i</w:t>
      </w:r>
      <w:proofErr w:type="spellEnd"/>
      <w:r w:rsidRPr="00F527AB">
        <w:rPr>
          <w:rFonts w:ascii="Garamond" w:hAnsi="Garamond" w:cs="Helvetica Neue"/>
        </w:rPr>
        <w:t xml:space="preserve">) whether the measure lays down product characteristics or their related </w:t>
      </w:r>
      <w:proofErr w:type="spellStart"/>
      <w:r w:rsidR="002C574B">
        <w:rPr>
          <w:rFonts w:ascii="Garamond" w:hAnsi="Garamond" w:cs="Helvetica Neue"/>
        </w:rPr>
        <w:t>PPMS</w:t>
      </w:r>
      <w:proofErr w:type="spellEnd"/>
      <w:r w:rsidR="002C574B">
        <w:rPr>
          <w:rFonts w:ascii="Garamond" w:hAnsi="Garamond" w:cs="Helvetica Neue"/>
        </w:rPr>
        <w:t xml:space="preserve"> </w:t>
      </w:r>
      <w:r w:rsidRPr="00F527AB">
        <w:rPr>
          <w:rFonts w:ascii="Garamond" w:hAnsi="Garamond" w:cs="Helvetica Neue"/>
        </w:rPr>
        <w:t>(ii) with which compliance must be mandatory.</w:t>
      </w:r>
      <w:r>
        <w:rPr>
          <w:rStyle w:val="Refdenotaalpie"/>
          <w:rFonts w:ascii="Garamond" w:hAnsi="Garamond" w:cs="Helvetica Neue"/>
        </w:rPr>
        <w:footnoteReference w:id="6"/>
      </w:r>
    </w:p>
    <w:p w14:paraId="1AD4920F" w14:textId="77777777" w:rsidR="009D2F62" w:rsidRPr="009D2F62" w:rsidRDefault="009D2F62" w:rsidP="009D2F62">
      <w:pPr>
        <w:widowControl w:val="0"/>
        <w:autoSpaceDE w:val="0"/>
        <w:autoSpaceDN w:val="0"/>
        <w:adjustRightInd w:val="0"/>
        <w:spacing w:after="200" w:line="276" w:lineRule="auto"/>
        <w:jc w:val="both"/>
        <w:rPr>
          <w:rFonts w:ascii="Garamond" w:hAnsi="Garamond" w:cs="Helvetica Neue"/>
          <w:sz w:val="20"/>
          <w:szCs w:val="20"/>
        </w:rPr>
      </w:pPr>
    </w:p>
    <w:p w14:paraId="757F5B94" w14:textId="0C71869D" w:rsidR="00F5608D" w:rsidRPr="00C5084A" w:rsidRDefault="00F5608D" w:rsidP="00CF0D06">
      <w:pPr>
        <w:pStyle w:val="Prrafodelista"/>
        <w:widowControl w:val="0"/>
        <w:numPr>
          <w:ilvl w:val="1"/>
          <w:numId w:val="1"/>
        </w:numPr>
        <w:autoSpaceDE w:val="0"/>
        <w:autoSpaceDN w:val="0"/>
        <w:adjustRightInd w:val="0"/>
        <w:spacing w:after="200" w:line="276" w:lineRule="auto"/>
        <w:jc w:val="both"/>
        <w:rPr>
          <w:rFonts w:ascii="Garamond" w:hAnsi="Garamond" w:cs="Helvetica Neue"/>
          <w:b/>
          <w:sz w:val="28"/>
          <w:szCs w:val="28"/>
        </w:rPr>
      </w:pPr>
      <w:r w:rsidRPr="00C5084A">
        <w:rPr>
          <w:rFonts w:ascii="Garamond" w:hAnsi="Garamond" w:cs="Helvetica Neue"/>
          <w:b/>
          <w:sz w:val="28"/>
          <w:szCs w:val="28"/>
        </w:rPr>
        <w:t xml:space="preserve">Product characteristics, </w:t>
      </w:r>
      <w:proofErr w:type="spellStart"/>
      <w:r w:rsidRPr="00C5084A">
        <w:rPr>
          <w:rFonts w:ascii="Garamond" w:hAnsi="Garamond" w:cs="Helvetica Neue"/>
          <w:b/>
          <w:sz w:val="28"/>
          <w:szCs w:val="28"/>
        </w:rPr>
        <w:t>PPMS</w:t>
      </w:r>
      <w:proofErr w:type="spellEnd"/>
      <w:r w:rsidRPr="00C5084A">
        <w:rPr>
          <w:rFonts w:ascii="Garamond" w:hAnsi="Garamond" w:cs="Helvetica Neue"/>
          <w:b/>
          <w:sz w:val="28"/>
          <w:szCs w:val="28"/>
        </w:rPr>
        <w:t xml:space="preserve"> and NPR-RPMS</w:t>
      </w:r>
    </w:p>
    <w:p w14:paraId="21349FFD" w14:textId="4DA00046" w:rsidR="00F527AB" w:rsidRPr="00F527AB" w:rsidRDefault="00F527AB" w:rsidP="009D2F62">
      <w:pPr>
        <w:widowControl w:val="0"/>
        <w:autoSpaceDE w:val="0"/>
        <w:autoSpaceDN w:val="0"/>
        <w:adjustRightInd w:val="0"/>
        <w:spacing w:after="200" w:line="276" w:lineRule="auto"/>
        <w:jc w:val="both"/>
        <w:rPr>
          <w:rFonts w:ascii="Garamond" w:hAnsi="Garamond" w:cs="Helvetica Neue"/>
        </w:rPr>
      </w:pPr>
      <w:r w:rsidRPr="00F527AB">
        <w:rPr>
          <w:rFonts w:ascii="Garamond" w:hAnsi="Garamond" w:cs="Helvetica Neue"/>
        </w:rPr>
        <w:t>With regard to the second element, the AB has held that “</w:t>
      </w:r>
      <w:r w:rsidRPr="00F527AB">
        <w:rPr>
          <w:rFonts w:ascii="Garamond" w:hAnsi="Garamond" w:cs="Helvetica Neue"/>
          <w:i/>
          <w:iCs/>
        </w:rPr>
        <w:t>the “characteristics” of a product include, in our view, any objectively definable features, qualities, attributes or other distinguishing mark of a prod</w:t>
      </w:r>
      <w:r>
        <w:rPr>
          <w:rFonts w:ascii="Garamond" w:hAnsi="Garamond" w:cs="Helvetica Neue"/>
          <w:i/>
          <w:iCs/>
        </w:rPr>
        <w:t>uct”.</w:t>
      </w:r>
      <w:r>
        <w:rPr>
          <w:rStyle w:val="Refdenotaalpie"/>
          <w:rFonts w:ascii="Garamond" w:hAnsi="Garamond" w:cs="Helvetica Neue"/>
          <w:i/>
          <w:iCs/>
        </w:rPr>
        <w:footnoteReference w:id="7"/>
      </w:r>
      <w:r w:rsidRPr="00F527AB">
        <w:rPr>
          <w:rFonts w:ascii="Garamond" w:hAnsi="Garamond" w:cs="Helvetica Neue"/>
          <w:i/>
          <w:iCs/>
        </w:rPr>
        <w:t xml:space="preserve"> </w:t>
      </w:r>
      <w:r w:rsidRPr="00F527AB">
        <w:rPr>
          <w:rFonts w:ascii="Garamond" w:hAnsi="Garamond" w:cs="Helvetica Neue"/>
        </w:rPr>
        <w:t xml:space="preserve">It added that they </w:t>
      </w:r>
      <w:r w:rsidRPr="00F527AB">
        <w:rPr>
          <w:rFonts w:ascii="Garamond" w:hAnsi="Garamond" w:cs="Helvetica Neue"/>
          <w:i/>
          <w:iCs/>
        </w:rPr>
        <w:t>“might relate, inter alia, to a product’s composition, size, shape, (…) density, or viscosity</w:t>
      </w:r>
      <w:r w:rsidRPr="00F527AB">
        <w:rPr>
          <w:rFonts w:ascii="Garamond" w:hAnsi="Garamond" w:cs="Helvetica Neue"/>
        </w:rPr>
        <w:t>”.</w:t>
      </w:r>
      <w:r>
        <w:rPr>
          <w:rStyle w:val="Refdenotaalpie"/>
          <w:rFonts w:ascii="Garamond" w:hAnsi="Garamond" w:cs="Helvetica Neue"/>
        </w:rPr>
        <w:footnoteReference w:id="8"/>
      </w:r>
      <w:r>
        <w:rPr>
          <w:rFonts w:ascii="Garamond" w:hAnsi="Garamond" w:cs="Helvetica Neue"/>
        </w:rPr>
        <w:t xml:space="preserve"> </w:t>
      </w:r>
      <w:r w:rsidRPr="00F527AB">
        <w:rPr>
          <w:rFonts w:ascii="Garamond" w:hAnsi="Garamond" w:cs="Helvetica Neue"/>
        </w:rPr>
        <w:t>Regarding “</w:t>
      </w:r>
      <w:proofErr w:type="spellStart"/>
      <w:r w:rsidRPr="00F527AB">
        <w:rPr>
          <w:rFonts w:ascii="Garamond" w:hAnsi="Garamond" w:cs="Helvetica Neue"/>
        </w:rPr>
        <w:t>PPMS</w:t>
      </w:r>
      <w:proofErr w:type="spellEnd"/>
      <w:r w:rsidRPr="00F527AB">
        <w:rPr>
          <w:rFonts w:ascii="Garamond" w:hAnsi="Garamond" w:cs="Helvetica Neue"/>
        </w:rPr>
        <w:t xml:space="preserve">”, the AB noted in </w:t>
      </w:r>
      <w:r w:rsidRPr="00F527AB">
        <w:rPr>
          <w:rFonts w:ascii="Garamond" w:hAnsi="Garamond" w:cs="Helvetica Neue"/>
          <w:i/>
          <w:iCs/>
        </w:rPr>
        <w:t xml:space="preserve">EC – Seal Products </w:t>
      </w:r>
      <w:r w:rsidRPr="00F527AB">
        <w:rPr>
          <w:rFonts w:ascii="Garamond" w:hAnsi="Garamond" w:cs="Helvetica Neue"/>
        </w:rPr>
        <w:t>that all “</w:t>
      </w:r>
      <w:proofErr w:type="spellStart"/>
      <w:r w:rsidRPr="00F527AB">
        <w:rPr>
          <w:rFonts w:ascii="Garamond" w:hAnsi="Garamond" w:cs="Helvetica Neue"/>
        </w:rPr>
        <w:t>PPMS</w:t>
      </w:r>
      <w:proofErr w:type="spellEnd"/>
      <w:r w:rsidRPr="00F527AB">
        <w:rPr>
          <w:rFonts w:ascii="Garamond" w:hAnsi="Garamond" w:cs="Helvetica Neue"/>
        </w:rPr>
        <w:t>” do not fall under this definition and that drawing a line raises “</w:t>
      </w:r>
      <w:r w:rsidRPr="00F527AB">
        <w:rPr>
          <w:rFonts w:ascii="Garamond" w:hAnsi="Garamond" w:cs="Helvetica Neue"/>
          <w:i/>
          <w:iCs/>
        </w:rPr>
        <w:t>important systematics issues</w:t>
      </w:r>
      <w:r w:rsidRPr="00F527AB">
        <w:rPr>
          <w:rFonts w:ascii="Garamond" w:hAnsi="Garamond" w:cs="Helvetica Neue"/>
        </w:rPr>
        <w:t>”.</w:t>
      </w:r>
      <w:r>
        <w:rPr>
          <w:rStyle w:val="Refdenotaalpie"/>
          <w:rFonts w:ascii="Garamond" w:hAnsi="Garamond" w:cs="Helvetica Neue"/>
        </w:rPr>
        <w:footnoteReference w:id="9"/>
      </w:r>
      <w:r>
        <w:rPr>
          <w:rFonts w:ascii="Garamond" w:hAnsi="Garamond" w:cs="Helvetica Neue"/>
        </w:rPr>
        <w:t xml:space="preserve"> </w:t>
      </w:r>
      <w:r w:rsidRPr="00F527AB">
        <w:rPr>
          <w:rFonts w:ascii="Garamond" w:hAnsi="Garamond" w:cs="Helvetica Neue"/>
        </w:rPr>
        <w:t>To determine whether a measure lays down product related “</w:t>
      </w:r>
      <w:proofErr w:type="spellStart"/>
      <w:r w:rsidRPr="00F527AB">
        <w:rPr>
          <w:rFonts w:ascii="Garamond" w:hAnsi="Garamond" w:cs="Helvetica Neue"/>
        </w:rPr>
        <w:t>PPMS</w:t>
      </w:r>
      <w:proofErr w:type="spellEnd"/>
      <w:r w:rsidRPr="00F527AB">
        <w:rPr>
          <w:rFonts w:ascii="Garamond" w:hAnsi="Garamond" w:cs="Helvetica Neue"/>
        </w:rPr>
        <w:t>”, panels must assess whether the “</w:t>
      </w:r>
      <w:proofErr w:type="spellStart"/>
      <w:r w:rsidRPr="00F527AB">
        <w:rPr>
          <w:rFonts w:ascii="Garamond" w:hAnsi="Garamond" w:cs="Helvetica Neue"/>
        </w:rPr>
        <w:t>PPMS</w:t>
      </w:r>
      <w:proofErr w:type="spellEnd"/>
      <w:r w:rsidRPr="00F527AB">
        <w:rPr>
          <w:rFonts w:ascii="Garamond" w:hAnsi="Garamond" w:cs="Helvetica Neue"/>
        </w:rPr>
        <w:t>” have “</w:t>
      </w:r>
      <w:r w:rsidRPr="00F527AB">
        <w:rPr>
          <w:rFonts w:ascii="Garamond" w:hAnsi="Garamond" w:cs="Helvetica Neue"/>
          <w:i/>
          <w:iCs/>
        </w:rPr>
        <w:t>a sufficient nexus to the characteristics of a product so to be considered related to the characteristics of the product</w:t>
      </w:r>
      <w:r w:rsidRPr="00F527AB">
        <w:rPr>
          <w:rFonts w:ascii="Garamond" w:hAnsi="Garamond" w:cs="Helvetica Neue"/>
        </w:rPr>
        <w:t>”.</w:t>
      </w:r>
      <w:r>
        <w:rPr>
          <w:rStyle w:val="Refdenotaalpie"/>
          <w:rFonts w:ascii="Garamond" w:hAnsi="Garamond" w:cs="Helvetica Neue"/>
        </w:rPr>
        <w:footnoteReference w:id="10"/>
      </w:r>
      <w:r>
        <w:rPr>
          <w:rFonts w:ascii="Garamond" w:hAnsi="Garamond" w:cs="Helvetica Neue"/>
        </w:rPr>
        <w:t xml:space="preserve"> </w:t>
      </w:r>
      <w:r w:rsidRPr="00F527AB">
        <w:rPr>
          <w:rFonts w:ascii="Garamond" w:hAnsi="Garamond" w:cs="Helvetica Neue"/>
        </w:rPr>
        <w:t>Hence, accordi</w:t>
      </w:r>
      <w:r w:rsidR="00D71B2D">
        <w:rPr>
          <w:rFonts w:ascii="Garamond" w:hAnsi="Garamond" w:cs="Helvetica Neue"/>
        </w:rPr>
        <w:t>ng to the wording of Annex 1.1 </w:t>
      </w:r>
      <w:r w:rsidRPr="00F527AB">
        <w:rPr>
          <w:rFonts w:ascii="Garamond" w:hAnsi="Garamond" w:cs="Helvetica Neue"/>
        </w:rPr>
        <w:t xml:space="preserve">all product-related </w:t>
      </w:r>
      <w:proofErr w:type="spellStart"/>
      <w:r w:rsidRPr="00F527AB">
        <w:rPr>
          <w:rFonts w:ascii="Garamond" w:hAnsi="Garamond" w:cs="Helvetica Neue"/>
        </w:rPr>
        <w:t>PPMS</w:t>
      </w:r>
      <w:proofErr w:type="spellEnd"/>
      <w:r w:rsidRPr="00F527AB">
        <w:rPr>
          <w:rFonts w:ascii="Garamond" w:hAnsi="Garamond" w:cs="Helvetica Neue"/>
        </w:rPr>
        <w:t xml:space="preserve"> are covered.</w:t>
      </w:r>
    </w:p>
    <w:p w14:paraId="7AEA798F" w14:textId="466FCBDC" w:rsidR="00F527AB" w:rsidRPr="00F527AB" w:rsidRDefault="00F527AB" w:rsidP="009D2F62">
      <w:pPr>
        <w:widowControl w:val="0"/>
        <w:autoSpaceDE w:val="0"/>
        <w:autoSpaceDN w:val="0"/>
        <w:adjustRightInd w:val="0"/>
        <w:spacing w:after="200" w:line="276" w:lineRule="auto"/>
        <w:jc w:val="both"/>
        <w:rPr>
          <w:rFonts w:ascii="Garamond" w:hAnsi="Garamond" w:cs="Helvetica Neue"/>
        </w:rPr>
      </w:pPr>
      <w:r w:rsidRPr="00F527AB">
        <w:rPr>
          <w:rFonts w:ascii="Garamond" w:hAnsi="Garamond" w:cs="Helvetica Neue"/>
        </w:rPr>
        <w:t>However, the question of whether measures that lay down non-product-related process and production methods (“</w:t>
      </w:r>
      <w:r w:rsidRPr="00F527AB">
        <w:rPr>
          <w:rFonts w:ascii="Garamond" w:hAnsi="Garamond" w:cs="Helvetica Neue"/>
          <w:b/>
          <w:bCs/>
        </w:rPr>
        <w:t>NPR-</w:t>
      </w:r>
      <w:proofErr w:type="spellStart"/>
      <w:r w:rsidRPr="00F527AB">
        <w:rPr>
          <w:rFonts w:ascii="Garamond" w:hAnsi="Garamond" w:cs="Helvetica Neue"/>
          <w:b/>
          <w:bCs/>
        </w:rPr>
        <w:t>PPMS</w:t>
      </w:r>
      <w:proofErr w:type="spellEnd"/>
      <w:r w:rsidRPr="00F527AB">
        <w:rPr>
          <w:rFonts w:ascii="Garamond" w:hAnsi="Garamond" w:cs="Helvetica Neue"/>
        </w:rPr>
        <w:t xml:space="preserve">”) – which do not affect the physical characteristics of the final product put on the market – can fall under the definition of “technical regulation” is still unclear. Despite the fact </w:t>
      </w:r>
      <w:r w:rsidR="00F43ED3">
        <w:rPr>
          <w:rFonts w:ascii="Garamond" w:hAnsi="Garamond" w:cs="Helvetica Neue"/>
        </w:rPr>
        <w:t xml:space="preserve">that </w:t>
      </w:r>
      <w:r w:rsidRPr="00F527AB">
        <w:rPr>
          <w:rFonts w:ascii="Garamond" w:hAnsi="Garamond" w:cs="Helvetica Neue"/>
        </w:rPr>
        <w:t>this issue has never been addressed, it is clear that measures concerning terminology, symbols, packaging, marking or labe</w:t>
      </w:r>
      <w:r w:rsidR="009C6421">
        <w:rPr>
          <w:rFonts w:ascii="Garamond" w:hAnsi="Garamond" w:cs="Helvetica Neue"/>
        </w:rPr>
        <w:t>l</w:t>
      </w:r>
      <w:r w:rsidRPr="00F527AB">
        <w:rPr>
          <w:rFonts w:ascii="Garamond" w:hAnsi="Garamond" w:cs="Helvetica Neue"/>
        </w:rPr>
        <w:t>ling requirements would cover “NPR-</w:t>
      </w:r>
      <w:proofErr w:type="spellStart"/>
      <w:r w:rsidRPr="00F527AB">
        <w:rPr>
          <w:rFonts w:ascii="Garamond" w:hAnsi="Garamond" w:cs="Helvetica Neue"/>
        </w:rPr>
        <w:t>PPMS</w:t>
      </w:r>
      <w:proofErr w:type="spellEnd"/>
      <w:r w:rsidRPr="00F527AB">
        <w:rPr>
          <w:rFonts w:ascii="Garamond" w:hAnsi="Garamond" w:cs="Helvetica Neue"/>
        </w:rPr>
        <w:t>” as the second sentence of Annex 1.1 omits the term “product related”.</w:t>
      </w:r>
      <w:r>
        <w:rPr>
          <w:rStyle w:val="Refdenotaalpie"/>
          <w:rFonts w:ascii="Garamond" w:hAnsi="Garamond" w:cs="Helvetica Neue"/>
        </w:rPr>
        <w:footnoteReference w:id="11"/>
      </w:r>
      <w:r>
        <w:rPr>
          <w:rFonts w:ascii="Garamond" w:hAnsi="Garamond" w:cs="Helvetica Neue"/>
        </w:rPr>
        <w:t xml:space="preserve"> </w:t>
      </w:r>
      <w:r w:rsidRPr="00F527AB">
        <w:rPr>
          <w:rFonts w:ascii="Garamond" w:hAnsi="Garamond" w:cs="Helvetica Neue"/>
        </w:rPr>
        <w:t>However, whether “NPR-</w:t>
      </w:r>
      <w:proofErr w:type="spellStart"/>
      <w:r w:rsidRPr="00F527AB">
        <w:rPr>
          <w:rFonts w:ascii="Garamond" w:hAnsi="Garamond" w:cs="Helvetica Neue"/>
        </w:rPr>
        <w:t>PPMS</w:t>
      </w:r>
      <w:proofErr w:type="spellEnd"/>
      <w:r w:rsidRPr="00F527AB">
        <w:rPr>
          <w:rFonts w:ascii="Garamond" w:hAnsi="Garamond" w:cs="Helvetica Neue"/>
        </w:rPr>
        <w:t xml:space="preserve">” relating to measures not covered by this sentence fall under the </w:t>
      </w:r>
      <w:proofErr w:type="spellStart"/>
      <w:r w:rsidRPr="00F527AB">
        <w:rPr>
          <w:rFonts w:ascii="Garamond" w:hAnsi="Garamond" w:cs="Helvetica Neue"/>
        </w:rPr>
        <w:t>TBT</w:t>
      </w:r>
      <w:proofErr w:type="spellEnd"/>
      <w:r w:rsidRPr="00F527AB">
        <w:rPr>
          <w:rFonts w:ascii="Garamond" w:hAnsi="Garamond" w:cs="Helvetica Neue"/>
        </w:rPr>
        <w:t xml:space="preserve"> Agreement is up for discussion.</w:t>
      </w:r>
    </w:p>
    <w:p w14:paraId="42F2D621" w14:textId="6FE009F9" w:rsidR="00F5608D" w:rsidRDefault="00F527AB" w:rsidP="009D2F62">
      <w:pPr>
        <w:widowControl w:val="0"/>
        <w:autoSpaceDE w:val="0"/>
        <w:autoSpaceDN w:val="0"/>
        <w:adjustRightInd w:val="0"/>
        <w:spacing w:after="200" w:line="276" w:lineRule="auto"/>
        <w:jc w:val="both"/>
        <w:rPr>
          <w:rFonts w:ascii="Garamond" w:hAnsi="Garamond" w:cs="Helvetica Neue"/>
        </w:rPr>
      </w:pPr>
      <w:r w:rsidRPr="00F527AB">
        <w:rPr>
          <w:rFonts w:ascii="Garamond" w:hAnsi="Garamond" w:cs="Helvetica Neue"/>
        </w:rPr>
        <w:t> “NPR-</w:t>
      </w:r>
      <w:proofErr w:type="spellStart"/>
      <w:r w:rsidRPr="00F527AB">
        <w:rPr>
          <w:rFonts w:ascii="Garamond" w:hAnsi="Garamond" w:cs="Helvetica Neue"/>
        </w:rPr>
        <w:t>PPMS</w:t>
      </w:r>
      <w:proofErr w:type="spellEnd"/>
      <w:r w:rsidRPr="00F527AB">
        <w:rPr>
          <w:rFonts w:ascii="Garamond" w:hAnsi="Garamond" w:cs="Helvetica Neue"/>
        </w:rPr>
        <w:t xml:space="preserve">” </w:t>
      </w:r>
      <w:proofErr w:type="gramStart"/>
      <w:r w:rsidRPr="00F527AB">
        <w:rPr>
          <w:rFonts w:ascii="Garamond" w:hAnsi="Garamond" w:cs="Helvetica Neue"/>
        </w:rPr>
        <w:t>have</w:t>
      </w:r>
      <w:proofErr w:type="gramEnd"/>
      <w:r w:rsidRPr="00F527AB">
        <w:rPr>
          <w:rFonts w:ascii="Garamond" w:hAnsi="Garamond" w:cs="Helvetica Neue"/>
        </w:rPr>
        <w:t xml:space="preserve"> been a contentious issue as they can have extraterritorial effects by enabling importing countries to dictate how products must be processed in exporting countries.</w:t>
      </w:r>
      <w:r>
        <w:rPr>
          <w:rStyle w:val="Refdenotaalpie"/>
          <w:rFonts w:ascii="Garamond" w:hAnsi="Garamond" w:cs="Helvetica Neue"/>
        </w:rPr>
        <w:footnoteReference w:id="12"/>
      </w:r>
      <w:r>
        <w:rPr>
          <w:rFonts w:ascii="Garamond" w:hAnsi="Garamond" w:cs="Helvetica Neue"/>
        </w:rPr>
        <w:t xml:space="preserve"> </w:t>
      </w:r>
      <w:r w:rsidRPr="00F527AB">
        <w:rPr>
          <w:rFonts w:ascii="Garamond" w:hAnsi="Garamond" w:cs="Helvetica Neue"/>
        </w:rPr>
        <w:t>Including “NPR-</w:t>
      </w:r>
      <w:proofErr w:type="spellStart"/>
      <w:r w:rsidRPr="00F527AB">
        <w:rPr>
          <w:rFonts w:ascii="Garamond" w:hAnsi="Garamond" w:cs="Helvetica Neue"/>
        </w:rPr>
        <w:t>PPMS</w:t>
      </w:r>
      <w:proofErr w:type="spellEnd"/>
      <w:r w:rsidRPr="00F527AB">
        <w:rPr>
          <w:rFonts w:ascii="Garamond" w:hAnsi="Garamond" w:cs="Helvetica Neue"/>
        </w:rPr>
        <w:t xml:space="preserve">” under the </w:t>
      </w:r>
      <w:proofErr w:type="spellStart"/>
      <w:r w:rsidRPr="00F527AB">
        <w:rPr>
          <w:rFonts w:ascii="Garamond" w:hAnsi="Garamond" w:cs="Helvetica Neue"/>
        </w:rPr>
        <w:t>TBT</w:t>
      </w:r>
      <w:proofErr w:type="spellEnd"/>
      <w:r w:rsidRPr="00F527AB">
        <w:rPr>
          <w:rFonts w:ascii="Garamond" w:hAnsi="Garamond" w:cs="Helvetica Neue"/>
        </w:rPr>
        <w:t xml:space="preserve"> Agreement’s coverage has significant implications as otherwise they would only be covered by the less stringent obligations of the GATT. Nonetheless, the reasons that let the drafters of the </w:t>
      </w:r>
      <w:proofErr w:type="spellStart"/>
      <w:r w:rsidRPr="00F527AB">
        <w:rPr>
          <w:rFonts w:ascii="Garamond" w:hAnsi="Garamond" w:cs="Helvetica Neue"/>
        </w:rPr>
        <w:t>TBT</w:t>
      </w:r>
      <w:proofErr w:type="spellEnd"/>
      <w:r w:rsidRPr="00F527AB">
        <w:rPr>
          <w:rFonts w:ascii="Garamond" w:hAnsi="Garamond" w:cs="Helvetica Neue"/>
        </w:rPr>
        <w:t xml:space="preserve"> Agreement to include the word “related” in the first sentence but exclude it on the second sentence of Annex 1.1 cannot be by-passed since Art. 31.1 </w:t>
      </w:r>
      <w:proofErr w:type="spellStart"/>
      <w:r w:rsidRPr="00F527AB">
        <w:rPr>
          <w:rFonts w:ascii="Garamond" w:hAnsi="Garamond" w:cs="Helvetica Neue"/>
        </w:rPr>
        <w:t>VCLT</w:t>
      </w:r>
      <w:proofErr w:type="spellEnd"/>
      <w:r w:rsidRPr="00F527AB">
        <w:rPr>
          <w:rFonts w:ascii="Garamond" w:hAnsi="Garamond" w:cs="Helvetica Neue"/>
        </w:rPr>
        <w:t xml:space="preserve"> recognises that any “</w:t>
      </w:r>
      <w:r w:rsidRPr="00F527AB">
        <w:rPr>
          <w:rFonts w:ascii="Garamond" w:hAnsi="Garamond" w:cs="Helvetica Neue"/>
          <w:i/>
          <w:iCs/>
        </w:rPr>
        <w:t>treaty shall be interpreted (…) with the ordinary meaning to be given to the terms of the treaty in their context and in the light of the object and purpose</w:t>
      </w:r>
      <w:r w:rsidRPr="00F527AB">
        <w:rPr>
          <w:rFonts w:ascii="Garamond" w:hAnsi="Garamond" w:cs="Helvetica Neue"/>
        </w:rPr>
        <w:t>”. In this regard, only measures regarding NPR-</w:t>
      </w:r>
      <w:proofErr w:type="spellStart"/>
      <w:r w:rsidRPr="00F527AB">
        <w:rPr>
          <w:rFonts w:ascii="Garamond" w:hAnsi="Garamond" w:cs="Helvetica Neue"/>
        </w:rPr>
        <w:t>PPMS</w:t>
      </w:r>
      <w:proofErr w:type="spellEnd"/>
      <w:r w:rsidRPr="00F527AB">
        <w:rPr>
          <w:rFonts w:ascii="Garamond" w:hAnsi="Garamond" w:cs="Helvetica Neue"/>
        </w:rPr>
        <w:t xml:space="preserve"> through terminology, symbols, </w:t>
      </w:r>
      <w:proofErr w:type="gramStart"/>
      <w:r w:rsidRPr="00F527AB">
        <w:rPr>
          <w:rFonts w:ascii="Garamond" w:hAnsi="Garamond" w:cs="Helvetica Neue"/>
        </w:rPr>
        <w:t xml:space="preserve">packaging, marking or </w:t>
      </w:r>
      <w:proofErr w:type="spellStart"/>
      <w:r w:rsidRPr="00F527AB">
        <w:rPr>
          <w:rFonts w:ascii="Garamond" w:hAnsi="Garamond" w:cs="Helvetica Neue"/>
        </w:rPr>
        <w:t>labeling</w:t>
      </w:r>
      <w:proofErr w:type="spellEnd"/>
      <w:r w:rsidRPr="00F527AB">
        <w:rPr>
          <w:rFonts w:ascii="Garamond" w:hAnsi="Garamond" w:cs="Helvetica Neue"/>
        </w:rPr>
        <w:t xml:space="preserve"> requirements should be covered by Annex 1.1</w:t>
      </w:r>
      <w:proofErr w:type="gramEnd"/>
      <w:r w:rsidRPr="00F527AB">
        <w:rPr>
          <w:rFonts w:ascii="Garamond" w:hAnsi="Garamond" w:cs="Helvetica Neue"/>
        </w:rPr>
        <w:t xml:space="preserve">. </w:t>
      </w:r>
      <w:proofErr w:type="spellStart"/>
      <w:r w:rsidRPr="00F527AB">
        <w:rPr>
          <w:rFonts w:ascii="Garamond" w:hAnsi="Garamond" w:cs="Helvetica Neue"/>
        </w:rPr>
        <w:t>TBT</w:t>
      </w:r>
      <w:proofErr w:type="spellEnd"/>
      <w:r w:rsidRPr="00F527AB">
        <w:rPr>
          <w:rFonts w:ascii="Garamond" w:hAnsi="Garamond" w:cs="Helvetica Neue"/>
        </w:rPr>
        <w:t xml:space="preserve"> Agreement.</w:t>
      </w:r>
    </w:p>
    <w:p w14:paraId="187F87A6" w14:textId="77777777" w:rsidR="009D2F62" w:rsidRPr="009D2F62" w:rsidRDefault="009D2F62" w:rsidP="009D2F62">
      <w:pPr>
        <w:widowControl w:val="0"/>
        <w:autoSpaceDE w:val="0"/>
        <w:autoSpaceDN w:val="0"/>
        <w:adjustRightInd w:val="0"/>
        <w:spacing w:after="200" w:line="276" w:lineRule="auto"/>
        <w:jc w:val="both"/>
        <w:rPr>
          <w:rFonts w:ascii="Garamond" w:hAnsi="Garamond" w:cs="Helvetica Neue"/>
          <w:sz w:val="20"/>
          <w:szCs w:val="20"/>
        </w:rPr>
      </w:pPr>
    </w:p>
    <w:p w14:paraId="2F66770F" w14:textId="78D6E091" w:rsidR="00F5608D" w:rsidRPr="00C5084A" w:rsidRDefault="00F5608D" w:rsidP="00CF0D06">
      <w:pPr>
        <w:pStyle w:val="Prrafodelista"/>
        <w:widowControl w:val="0"/>
        <w:numPr>
          <w:ilvl w:val="1"/>
          <w:numId w:val="1"/>
        </w:numPr>
        <w:autoSpaceDE w:val="0"/>
        <w:autoSpaceDN w:val="0"/>
        <w:adjustRightInd w:val="0"/>
        <w:spacing w:after="200" w:line="276" w:lineRule="auto"/>
        <w:jc w:val="both"/>
        <w:rPr>
          <w:rFonts w:ascii="Garamond" w:hAnsi="Garamond" w:cs="Helvetica Neue"/>
          <w:b/>
          <w:sz w:val="28"/>
          <w:szCs w:val="28"/>
        </w:rPr>
      </w:pPr>
      <w:r w:rsidRPr="00C5084A">
        <w:rPr>
          <w:rFonts w:ascii="Garamond" w:hAnsi="Garamond" w:cs="Helvetica Neue"/>
          <w:b/>
          <w:sz w:val="28"/>
          <w:szCs w:val="28"/>
        </w:rPr>
        <w:t xml:space="preserve">Mandatory compliance </w:t>
      </w:r>
    </w:p>
    <w:p w14:paraId="764B4D04" w14:textId="3AE4EF6B" w:rsidR="00F527AB" w:rsidRPr="00F527AB" w:rsidRDefault="00F527AB" w:rsidP="009D2F62">
      <w:pPr>
        <w:widowControl w:val="0"/>
        <w:autoSpaceDE w:val="0"/>
        <w:autoSpaceDN w:val="0"/>
        <w:adjustRightInd w:val="0"/>
        <w:spacing w:after="200" w:line="276" w:lineRule="auto"/>
        <w:jc w:val="both"/>
        <w:rPr>
          <w:rFonts w:ascii="Garamond" w:hAnsi="Garamond" w:cs="Helvetica Neue"/>
        </w:rPr>
      </w:pPr>
      <w:r w:rsidRPr="00F527AB">
        <w:rPr>
          <w:rFonts w:ascii="Garamond" w:hAnsi="Garamond" w:cs="Helvetica Neue"/>
        </w:rPr>
        <w:t xml:space="preserve">With regard to the third element of the three-tier test, namely, mandatory compliance, the different opinions in the panel ruling in </w:t>
      </w:r>
      <w:r w:rsidRPr="00F527AB">
        <w:rPr>
          <w:rFonts w:ascii="Garamond" w:hAnsi="Garamond" w:cs="Helvetica Neue"/>
          <w:i/>
          <w:iCs/>
        </w:rPr>
        <w:t xml:space="preserve">US – Tuna II </w:t>
      </w:r>
      <w:r w:rsidRPr="00F527AB">
        <w:rPr>
          <w:rFonts w:ascii="Garamond" w:hAnsi="Garamond" w:cs="Helvetica Neue"/>
        </w:rPr>
        <w:t>raise a rather interesting debate.</w:t>
      </w:r>
    </w:p>
    <w:p w14:paraId="41D67968" w14:textId="77777777" w:rsidR="00F527AB" w:rsidRPr="00F527AB" w:rsidRDefault="00F527AB" w:rsidP="009D2F62">
      <w:pPr>
        <w:widowControl w:val="0"/>
        <w:autoSpaceDE w:val="0"/>
        <w:autoSpaceDN w:val="0"/>
        <w:adjustRightInd w:val="0"/>
        <w:spacing w:after="200" w:line="276" w:lineRule="auto"/>
        <w:jc w:val="both"/>
        <w:rPr>
          <w:rFonts w:ascii="Garamond" w:hAnsi="Garamond" w:cs="Helvetica Neue"/>
        </w:rPr>
      </w:pPr>
      <w:r w:rsidRPr="00F527AB">
        <w:rPr>
          <w:rFonts w:ascii="Garamond" w:hAnsi="Garamond" w:cs="Helvetica Neue"/>
        </w:rPr>
        <w:t xml:space="preserve"> In </w:t>
      </w:r>
      <w:r w:rsidRPr="00F527AB">
        <w:rPr>
          <w:rFonts w:ascii="Garamond" w:hAnsi="Garamond" w:cs="Helvetica Neue"/>
          <w:i/>
          <w:iCs/>
        </w:rPr>
        <w:t>US – Tuna II</w:t>
      </w:r>
      <w:r w:rsidRPr="00F527AB">
        <w:rPr>
          <w:rFonts w:ascii="Garamond" w:hAnsi="Garamond" w:cs="Helvetica Neue"/>
        </w:rPr>
        <w:t>, which concerned a measure establishing the conditions for use of a dolphin-safe label on tuna products, the key issue was the correct characterisation of the measure. While the United States argued that the measure was a “standard”, the majority of the panel disagreed and qualified it as a “technical regulation”. On appeal, the United States</w:t>
      </w:r>
      <w:r>
        <w:rPr>
          <w:rFonts w:ascii="Garamond" w:hAnsi="Garamond" w:cs="Helvetica Neue"/>
        </w:rPr>
        <w:t xml:space="preserve"> </w:t>
      </w:r>
      <w:r w:rsidRPr="00F527AB">
        <w:rPr>
          <w:rFonts w:ascii="Garamond" w:hAnsi="Garamond" w:cs="Helvetica Neue"/>
        </w:rPr>
        <w:t>only challenge the panel’s findings with regard the third element of the test. The United States argued that the labelling requirement was not mandatory since tuna products could be placed in the market without the label.</w:t>
      </w:r>
      <w:r>
        <w:rPr>
          <w:rStyle w:val="Refdenotaalpie"/>
          <w:rFonts w:ascii="Garamond" w:hAnsi="Garamond" w:cs="Helvetica Neue"/>
        </w:rPr>
        <w:footnoteReference w:id="13"/>
      </w:r>
      <w:r>
        <w:rPr>
          <w:rFonts w:ascii="Garamond" w:hAnsi="Garamond" w:cs="Helvetica Neue"/>
        </w:rPr>
        <w:t xml:space="preserve"> </w:t>
      </w:r>
      <w:r w:rsidRPr="00F527AB">
        <w:rPr>
          <w:rFonts w:ascii="Garamond" w:hAnsi="Garamond" w:cs="Helvetica Neue"/>
        </w:rPr>
        <w:t>The AB disagreed and pointed out that the determination of whether a measure is a “technical regulation” must be conducted in light of the features of the measure and the circumstances of the case.</w:t>
      </w:r>
      <w:r>
        <w:rPr>
          <w:rStyle w:val="Refdenotaalpie"/>
          <w:rFonts w:ascii="Garamond" w:hAnsi="Garamond" w:cs="Helvetica Neue"/>
        </w:rPr>
        <w:footnoteReference w:id="14"/>
      </w:r>
      <w:r>
        <w:rPr>
          <w:rFonts w:ascii="Garamond" w:hAnsi="Garamond" w:cs="Helvetica Neue"/>
        </w:rPr>
        <w:t xml:space="preserve"> </w:t>
      </w:r>
      <w:r w:rsidRPr="00F527AB">
        <w:rPr>
          <w:rFonts w:ascii="Garamond" w:hAnsi="Garamond" w:cs="Helvetica Neue"/>
        </w:rPr>
        <w:t>The AB noted that consumers’ preferences in the United Stated showed that the amount of sold tuna products without the dolphin-safe label was almost inexistent.</w:t>
      </w:r>
      <w:r>
        <w:rPr>
          <w:rStyle w:val="Refdenotaalpie"/>
          <w:rFonts w:ascii="Garamond" w:hAnsi="Garamond" w:cs="Helvetica Neue"/>
        </w:rPr>
        <w:footnoteReference w:id="15"/>
      </w:r>
    </w:p>
    <w:p w14:paraId="5BFC546F" w14:textId="5871D770" w:rsidR="00F527AB" w:rsidRPr="00F527AB" w:rsidRDefault="00F527AB" w:rsidP="009D2F62">
      <w:pPr>
        <w:widowControl w:val="0"/>
        <w:autoSpaceDE w:val="0"/>
        <w:autoSpaceDN w:val="0"/>
        <w:adjustRightInd w:val="0"/>
        <w:spacing w:after="200" w:line="276" w:lineRule="auto"/>
        <w:jc w:val="both"/>
        <w:rPr>
          <w:rFonts w:ascii="Garamond" w:hAnsi="Garamond" w:cs="Helvetica Neue"/>
        </w:rPr>
      </w:pPr>
      <w:r w:rsidRPr="00F527AB">
        <w:rPr>
          <w:rFonts w:ascii="Garamond" w:hAnsi="Garamond" w:cs="Helvetica Neue"/>
        </w:rPr>
        <w:t> However, attention should be given to the difference between the majority of the Panel’s and the dissenting interpretations. While the majority of the Panel interpreted the “mandatory compliance” as meaning that a product cannot be marketed in some way (namely, with the dolphin-safe label) without meeting these requirements – even if it could be marketed in some other way –</w:t>
      </w:r>
      <w:r>
        <w:rPr>
          <w:rStyle w:val="Refdenotaalpie"/>
          <w:rFonts w:ascii="Garamond" w:hAnsi="Garamond" w:cs="Helvetica Neue"/>
        </w:rPr>
        <w:footnoteReference w:id="16"/>
      </w:r>
      <w:r w:rsidRPr="00F527AB">
        <w:rPr>
          <w:rFonts w:ascii="Garamond" w:hAnsi="Garamond" w:cs="Helvetica Neue"/>
        </w:rPr>
        <w:t>, the dissenting opinion argued that the correct meaning of the term is that a product cannot be marketed at all without meeting certain requirements.</w:t>
      </w:r>
      <w:r>
        <w:rPr>
          <w:rStyle w:val="Refdenotaalpie"/>
          <w:rFonts w:ascii="Garamond" w:hAnsi="Garamond" w:cs="Helvetica Neue"/>
        </w:rPr>
        <w:footnoteReference w:id="17"/>
      </w:r>
    </w:p>
    <w:p w14:paraId="154324CE" w14:textId="00EB9823" w:rsidR="009D2F62" w:rsidRDefault="00F527AB" w:rsidP="009D2F62">
      <w:pPr>
        <w:widowControl w:val="0"/>
        <w:autoSpaceDE w:val="0"/>
        <w:autoSpaceDN w:val="0"/>
        <w:adjustRightInd w:val="0"/>
        <w:spacing w:after="200" w:line="276" w:lineRule="auto"/>
        <w:jc w:val="both"/>
        <w:rPr>
          <w:rFonts w:ascii="Garamond" w:hAnsi="Garamond" w:cs="Helvetica Neue"/>
        </w:rPr>
      </w:pPr>
      <w:r w:rsidRPr="00F527AB">
        <w:rPr>
          <w:rFonts w:ascii="Garamond" w:hAnsi="Garamond" w:cs="Helvetica Neue"/>
        </w:rPr>
        <w:t> The issue arising from the majority interpretation – which was also pointed out by the United States –</w:t>
      </w:r>
      <w:r>
        <w:rPr>
          <w:rStyle w:val="Refdenotaalpie"/>
          <w:rFonts w:ascii="Garamond" w:hAnsi="Garamond" w:cs="Helvetica Neue"/>
        </w:rPr>
        <w:footnoteReference w:id="18"/>
      </w:r>
      <w:proofErr w:type="gramStart"/>
      <w:r w:rsidRPr="00F527AB">
        <w:rPr>
          <w:rFonts w:ascii="Garamond" w:hAnsi="Garamond" w:cs="Helvetica Neue"/>
        </w:rPr>
        <w:t xml:space="preserve">  is</w:t>
      </w:r>
      <w:proofErr w:type="gramEnd"/>
      <w:r w:rsidRPr="00F527AB">
        <w:rPr>
          <w:rFonts w:ascii="Garamond" w:hAnsi="Garamond" w:cs="Helvetica Neue"/>
        </w:rPr>
        <w:t xml:space="preserve"> that it turns all labelling requirements into technical regulations. The Panel based its decision on the AB’s ruling in </w:t>
      </w:r>
      <w:r w:rsidRPr="00F527AB">
        <w:rPr>
          <w:rFonts w:ascii="Garamond" w:hAnsi="Garamond" w:cs="Helvetica Neue"/>
          <w:i/>
          <w:iCs/>
        </w:rPr>
        <w:t xml:space="preserve">EC – Sardines. </w:t>
      </w:r>
      <w:r w:rsidRPr="00F527AB">
        <w:rPr>
          <w:rFonts w:ascii="Garamond" w:hAnsi="Garamond" w:cs="Helvetica Neue"/>
        </w:rPr>
        <w:t>In this case, the measure was an EC regulation establishing a number of requirements for the sale of “preserved sardines”, including that a product sold under the name “preserved sardines” contained only one species of sardines – “</w:t>
      </w:r>
      <w:proofErr w:type="spellStart"/>
      <w:r w:rsidRPr="00F527AB">
        <w:rPr>
          <w:rFonts w:ascii="Garamond" w:hAnsi="Garamond" w:cs="Helvetica Neue"/>
          <w:i/>
          <w:iCs/>
        </w:rPr>
        <w:t>pilchardus</w:t>
      </w:r>
      <w:proofErr w:type="spellEnd"/>
      <w:r w:rsidRPr="00F527AB">
        <w:rPr>
          <w:rFonts w:ascii="Garamond" w:hAnsi="Garamond" w:cs="Helvetica Neue"/>
          <w:i/>
          <w:iCs/>
        </w:rPr>
        <w:t xml:space="preserve"> </w:t>
      </w:r>
      <w:proofErr w:type="spellStart"/>
      <w:r w:rsidRPr="00F527AB">
        <w:rPr>
          <w:rFonts w:ascii="Garamond" w:hAnsi="Garamond" w:cs="Helvetica Neue"/>
          <w:i/>
          <w:iCs/>
        </w:rPr>
        <w:t>Walbaum</w:t>
      </w:r>
      <w:proofErr w:type="spellEnd"/>
      <w:r w:rsidRPr="00F527AB">
        <w:rPr>
          <w:rFonts w:ascii="Garamond" w:hAnsi="Garamond" w:cs="Helvetica Neue"/>
        </w:rPr>
        <w:t>” –. The AB held that the EC measure was a “</w:t>
      </w:r>
      <w:r w:rsidRPr="00F527AB">
        <w:rPr>
          <w:rFonts w:ascii="Garamond" w:hAnsi="Garamond" w:cs="Helvetica Neue"/>
          <w:i/>
          <w:iCs/>
        </w:rPr>
        <w:t>technical regulation</w:t>
      </w:r>
      <w:r w:rsidRPr="00F527AB">
        <w:rPr>
          <w:rFonts w:ascii="Garamond" w:hAnsi="Garamond" w:cs="Helvetica Neue"/>
        </w:rPr>
        <w:t>” since it was contained in a rule that was “</w:t>
      </w:r>
      <w:r w:rsidRPr="00F527AB">
        <w:rPr>
          <w:rFonts w:ascii="Garamond" w:hAnsi="Garamond" w:cs="Helvetica Neue"/>
          <w:i/>
          <w:iCs/>
        </w:rPr>
        <w:t>binding in its entirety and directly applicable in all Member States</w:t>
      </w:r>
      <w:r w:rsidRPr="00F527AB">
        <w:rPr>
          <w:rFonts w:ascii="Garamond" w:hAnsi="Garamond" w:cs="Helvetica Neue"/>
        </w:rPr>
        <w:t>”.</w:t>
      </w:r>
      <w:r>
        <w:rPr>
          <w:rStyle w:val="Refdenotaalpie"/>
          <w:rFonts w:ascii="Garamond" w:hAnsi="Garamond" w:cs="Helvetica Neue"/>
        </w:rPr>
        <w:footnoteReference w:id="19"/>
      </w:r>
      <w:r w:rsidRPr="00F527AB">
        <w:rPr>
          <w:rFonts w:ascii="Garamond" w:hAnsi="Garamond" w:cs="Helvetica Neue"/>
        </w:rPr>
        <w:t xml:space="preserve"> Some argue that the AB erred in its qualification as the EC´s measure should have been qualified as a standard since the measure did not stop Peruvian fish from being marketed in the EU but, rather, stopping it from being marketed in a particular way.</w:t>
      </w:r>
      <w:r>
        <w:rPr>
          <w:rStyle w:val="Refdenotaalpie"/>
          <w:rFonts w:ascii="Garamond" w:hAnsi="Garamond" w:cs="Helvetica Neue"/>
        </w:rPr>
        <w:footnoteReference w:id="20"/>
      </w:r>
      <w:r w:rsidRPr="00F527AB">
        <w:rPr>
          <w:rFonts w:ascii="Garamond" w:hAnsi="Garamond" w:cs="Helvetica Neue"/>
        </w:rPr>
        <w:t xml:space="preserve"> However, a more correct view is that in </w:t>
      </w:r>
      <w:r w:rsidRPr="00F527AB">
        <w:rPr>
          <w:rFonts w:ascii="Garamond" w:hAnsi="Garamond" w:cs="Helvetica Neue"/>
          <w:i/>
          <w:iCs/>
        </w:rPr>
        <w:t xml:space="preserve">EC – Sardines </w:t>
      </w:r>
      <w:r w:rsidRPr="00F527AB">
        <w:rPr>
          <w:rFonts w:ascii="Garamond" w:hAnsi="Garamond" w:cs="Helvetica Neue"/>
        </w:rPr>
        <w:t xml:space="preserve">the ability to call a product a “sardine” was, indeed, a precondition for entering the market (for sardines), while in </w:t>
      </w:r>
      <w:r w:rsidRPr="00F527AB">
        <w:rPr>
          <w:rFonts w:ascii="Garamond" w:hAnsi="Garamond" w:cs="Helvetica Neue"/>
          <w:i/>
          <w:iCs/>
        </w:rPr>
        <w:t xml:space="preserve">US – Tuna II </w:t>
      </w:r>
      <w:r w:rsidRPr="00F527AB">
        <w:rPr>
          <w:rFonts w:ascii="Garamond" w:hAnsi="Garamond" w:cs="Helvetica Neue"/>
        </w:rPr>
        <w:t>products could be marketed as tuna and placed in the market without the dolphin-safe label requirement. The correct interpretation of these decisions is that a distinction between labelling and terminology requirements should be made. In this regard, all “terminology” requirements should qualify as “technical regulation” since they always impact consumers inasmuch as they will not recognise the product as such – acting as a limit on market access –. With respect to determining whether a labelling requirement qualifies as “technical regulation” will depend on whether it impacts the consumer so as to limit access to the market for that product– in which case it will be considered mandatory and, therefore, a technical regulation– or simply informs the consumers of the different choices available, in which case it will qualify as a “standard”.</w:t>
      </w:r>
    </w:p>
    <w:p w14:paraId="6F83A9DE" w14:textId="77777777" w:rsidR="009D2F62" w:rsidRPr="009D2F62" w:rsidRDefault="009D2F62" w:rsidP="009D2F62">
      <w:pPr>
        <w:widowControl w:val="0"/>
        <w:autoSpaceDE w:val="0"/>
        <w:autoSpaceDN w:val="0"/>
        <w:adjustRightInd w:val="0"/>
        <w:spacing w:after="200" w:line="276" w:lineRule="auto"/>
        <w:jc w:val="both"/>
        <w:rPr>
          <w:rFonts w:ascii="Garamond" w:hAnsi="Garamond" w:cs="Helvetica Neue"/>
          <w:sz w:val="20"/>
          <w:szCs w:val="20"/>
        </w:rPr>
      </w:pPr>
    </w:p>
    <w:p w14:paraId="07809856" w14:textId="77777777" w:rsidR="001E566E" w:rsidRPr="00C5084A" w:rsidRDefault="001E566E" w:rsidP="00CF0D06">
      <w:pPr>
        <w:pStyle w:val="Prrafodelista"/>
        <w:widowControl w:val="0"/>
        <w:numPr>
          <w:ilvl w:val="0"/>
          <w:numId w:val="1"/>
        </w:numPr>
        <w:autoSpaceDE w:val="0"/>
        <w:autoSpaceDN w:val="0"/>
        <w:adjustRightInd w:val="0"/>
        <w:spacing w:after="240" w:line="276" w:lineRule="auto"/>
        <w:jc w:val="both"/>
        <w:rPr>
          <w:rFonts w:ascii="Garamond" w:hAnsi="Garamond" w:cs="Helvetica Neue"/>
          <w:b/>
          <w:sz w:val="30"/>
          <w:szCs w:val="30"/>
        </w:rPr>
      </w:pPr>
      <w:r w:rsidRPr="00C5084A">
        <w:rPr>
          <w:rFonts w:ascii="Garamond" w:hAnsi="Garamond" w:cs="Helvetica Neue"/>
          <w:b/>
          <w:sz w:val="30"/>
          <w:szCs w:val="30"/>
        </w:rPr>
        <w:t xml:space="preserve">Conclusions </w:t>
      </w:r>
    </w:p>
    <w:p w14:paraId="51481A15" w14:textId="1EE44F54" w:rsidR="00F5608D" w:rsidRDefault="00F527AB" w:rsidP="00F527AB">
      <w:pPr>
        <w:widowControl w:val="0"/>
        <w:autoSpaceDE w:val="0"/>
        <w:autoSpaceDN w:val="0"/>
        <w:adjustRightInd w:val="0"/>
        <w:spacing w:after="240" w:line="276" w:lineRule="auto"/>
        <w:jc w:val="both"/>
        <w:rPr>
          <w:rFonts w:ascii="Garamond" w:hAnsi="Garamond" w:cs="Helvetica Neue"/>
        </w:rPr>
      </w:pPr>
      <w:r w:rsidRPr="00F527AB">
        <w:rPr>
          <w:rFonts w:ascii="Garamond" w:hAnsi="Garamond" w:cs="Helvetica Neue"/>
        </w:rPr>
        <w:t xml:space="preserve">In sum, in order for a measure to qualify as a “technical regulation” under Annex 1.1 </w:t>
      </w:r>
      <w:proofErr w:type="spellStart"/>
      <w:r w:rsidRPr="00F527AB">
        <w:rPr>
          <w:rFonts w:ascii="Garamond" w:hAnsi="Garamond" w:cs="Helvetica Neue"/>
        </w:rPr>
        <w:t>TBT</w:t>
      </w:r>
      <w:proofErr w:type="spellEnd"/>
      <w:r w:rsidRPr="00F527AB">
        <w:rPr>
          <w:rFonts w:ascii="Garamond" w:hAnsi="Garamond" w:cs="Helvetica Neue"/>
        </w:rPr>
        <w:t xml:space="preserve"> Agreement the three-tier test developed by the AB in </w:t>
      </w:r>
      <w:r w:rsidRPr="00F527AB">
        <w:rPr>
          <w:rFonts w:ascii="Garamond" w:hAnsi="Garamond" w:cs="Helvetica Neue"/>
          <w:i/>
          <w:iCs/>
        </w:rPr>
        <w:t xml:space="preserve">EC – Sardines </w:t>
      </w:r>
      <w:r w:rsidRPr="00F527AB">
        <w:rPr>
          <w:rFonts w:ascii="Garamond" w:hAnsi="Garamond" w:cs="Helvetica Neue"/>
        </w:rPr>
        <w:t>must be met. Countries may avoid the uncertainty of whether measures concerning “NPR-</w:t>
      </w:r>
      <w:proofErr w:type="spellStart"/>
      <w:r w:rsidRPr="00F527AB">
        <w:rPr>
          <w:rFonts w:ascii="Garamond" w:hAnsi="Garamond" w:cs="Helvetica Neue"/>
        </w:rPr>
        <w:t>PPMS</w:t>
      </w:r>
      <w:proofErr w:type="spellEnd"/>
      <w:r w:rsidRPr="00F527AB">
        <w:rPr>
          <w:rFonts w:ascii="Garamond" w:hAnsi="Garamond" w:cs="Helvetica Neue"/>
        </w:rPr>
        <w:t>” are included in the mentioned Annex by formulating them through terminology, symbols, packaging, marking or labelling requirements. Moreover, while terminology requirements limit market access and should always be mandatory – qualify as a “technical regulation” –, countries must pay due consideration to the impact of labelling and marking on consumers since it will determine whether a measure limits market access or simply informs consumers of the different choices in the market. This assessment must be performed on a case-by-case basis and it will determine whether the measure is mandatory – those that limit market access – or voluntary – those that simply inform the consumer – and, thus, a “technical regulation” or a “standard”. The same argument could be made for symbols and packaging.</w:t>
      </w:r>
    </w:p>
    <w:p w14:paraId="645E6F9B" w14:textId="77777777" w:rsidR="00252281" w:rsidRPr="00CF0D06" w:rsidRDefault="00252281" w:rsidP="00F527AB">
      <w:pPr>
        <w:widowControl w:val="0"/>
        <w:autoSpaceDE w:val="0"/>
        <w:autoSpaceDN w:val="0"/>
        <w:adjustRightInd w:val="0"/>
        <w:spacing w:after="240" w:line="276" w:lineRule="auto"/>
        <w:jc w:val="both"/>
        <w:rPr>
          <w:rFonts w:ascii="Garamond" w:hAnsi="Garamond" w:cs="Helvetica Neue"/>
        </w:rPr>
      </w:pPr>
    </w:p>
    <w:p w14:paraId="798B95AC" w14:textId="58FD2F72" w:rsidR="001E566E" w:rsidRPr="00754EBA" w:rsidRDefault="001E566E" w:rsidP="00CF0D06">
      <w:pPr>
        <w:pStyle w:val="Prrafodelista"/>
        <w:widowControl w:val="0"/>
        <w:numPr>
          <w:ilvl w:val="0"/>
          <w:numId w:val="1"/>
        </w:numPr>
        <w:autoSpaceDE w:val="0"/>
        <w:autoSpaceDN w:val="0"/>
        <w:adjustRightInd w:val="0"/>
        <w:spacing w:after="240" w:line="276" w:lineRule="auto"/>
        <w:jc w:val="both"/>
        <w:rPr>
          <w:rFonts w:ascii="Garamond" w:hAnsi="Garamond" w:cs="Helvetica Neue"/>
          <w:b/>
          <w:sz w:val="30"/>
          <w:szCs w:val="30"/>
        </w:rPr>
      </w:pPr>
      <w:r w:rsidRPr="00754EBA">
        <w:rPr>
          <w:rFonts w:ascii="Garamond" w:hAnsi="Garamond" w:cs="Helvetica Neue"/>
          <w:b/>
          <w:sz w:val="30"/>
          <w:szCs w:val="30"/>
        </w:rPr>
        <w:t>Table of References</w:t>
      </w:r>
    </w:p>
    <w:p w14:paraId="31C24F8A" w14:textId="50BCDC3E" w:rsidR="00D71B2D" w:rsidRPr="00D71B2D" w:rsidRDefault="00D71B2D" w:rsidP="00D71B2D">
      <w:pPr>
        <w:pStyle w:val="Ttulo1"/>
        <w:spacing w:before="0" w:after="0" w:line="240" w:lineRule="auto"/>
        <w:jc w:val="both"/>
        <w:rPr>
          <w:b w:val="0"/>
          <w:lang w:val="en-US"/>
        </w:rPr>
      </w:pPr>
      <w:r w:rsidRPr="00D71B2D">
        <w:rPr>
          <w:b w:val="0"/>
        </w:rPr>
        <w:t xml:space="preserve">Appellate Body Report, </w:t>
      </w:r>
      <w:r w:rsidRPr="00D71B2D">
        <w:rPr>
          <w:b w:val="0"/>
          <w:lang w:val="en-US"/>
        </w:rPr>
        <w:t xml:space="preserve">United States – Measures Concerning the Importation, Marketing and Sale of Tuna and Tuna Products (US – Tuna II), </w:t>
      </w:r>
      <w:proofErr w:type="spellStart"/>
      <w:r w:rsidRPr="00D71B2D">
        <w:rPr>
          <w:b w:val="0"/>
          <w:lang w:val="en-US"/>
        </w:rPr>
        <w:t>WT</w:t>
      </w:r>
      <w:proofErr w:type="spellEnd"/>
      <w:r w:rsidRPr="00D71B2D">
        <w:rPr>
          <w:b w:val="0"/>
          <w:lang w:val="en-US"/>
        </w:rPr>
        <w:t xml:space="preserve">/DS381/AB/R, adopted 16 May 2012. </w:t>
      </w:r>
    </w:p>
    <w:p w14:paraId="21469DA3" w14:textId="77777777" w:rsidR="00D71B2D" w:rsidRPr="00D71B2D" w:rsidRDefault="00D71B2D" w:rsidP="00D71B2D">
      <w:pPr>
        <w:spacing w:line="240" w:lineRule="auto"/>
        <w:jc w:val="both"/>
        <w:rPr>
          <w:rFonts w:ascii="Garamond" w:hAnsi="Garamond"/>
        </w:rPr>
      </w:pPr>
    </w:p>
    <w:p w14:paraId="2D1A468A" w14:textId="54A44DCC" w:rsidR="00D71B2D" w:rsidRPr="00D71B2D" w:rsidRDefault="00D71B2D" w:rsidP="00D71B2D">
      <w:pPr>
        <w:spacing w:line="240" w:lineRule="auto"/>
        <w:jc w:val="both"/>
        <w:rPr>
          <w:rFonts w:ascii="Garamond" w:hAnsi="Garamond"/>
          <w:lang w:val="en-US"/>
        </w:rPr>
      </w:pPr>
      <w:r w:rsidRPr="00D71B2D">
        <w:rPr>
          <w:rFonts w:ascii="Garamond" w:hAnsi="Garamond"/>
        </w:rPr>
        <w:t xml:space="preserve">Appellate Body Report, European Communities </w:t>
      </w:r>
      <w:r w:rsidRPr="00D71B2D">
        <w:rPr>
          <w:rFonts w:ascii="Garamond" w:hAnsi="Garamond"/>
          <w:lang w:val="en-US"/>
        </w:rPr>
        <w:t>–</w:t>
      </w:r>
      <w:r w:rsidRPr="00D71B2D">
        <w:rPr>
          <w:rFonts w:ascii="Garamond" w:hAnsi="Garamond"/>
          <w:b/>
          <w:lang w:val="en-US"/>
        </w:rPr>
        <w:t xml:space="preserve"> </w:t>
      </w:r>
      <w:r w:rsidRPr="00D71B2D">
        <w:rPr>
          <w:rFonts w:ascii="Garamond" w:hAnsi="Garamond"/>
          <w:lang w:val="en-US"/>
        </w:rPr>
        <w:t>Trade Description of Sardines (EC – Sardines), ET/DS231/</w:t>
      </w:r>
      <w:proofErr w:type="spellStart"/>
      <w:r w:rsidRPr="00D71B2D">
        <w:rPr>
          <w:rFonts w:ascii="Garamond" w:hAnsi="Garamond"/>
          <w:lang w:val="en-US"/>
        </w:rPr>
        <w:t>ABR</w:t>
      </w:r>
      <w:proofErr w:type="spellEnd"/>
      <w:r w:rsidRPr="00D71B2D">
        <w:rPr>
          <w:rFonts w:ascii="Garamond" w:hAnsi="Garamond"/>
          <w:lang w:val="en-US"/>
        </w:rPr>
        <w:t>/R, adopted 26 September 2002</w:t>
      </w:r>
      <w:r>
        <w:rPr>
          <w:rFonts w:ascii="Garamond" w:hAnsi="Garamond"/>
          <w:lang w:val="en-US"/>
        </w:rPr>
        <w:t>.</w:t>
      </w:r>
    </w:p>
    <w:p w14:paraId="345DFD0B" w14:textId="77777777" w:rsidR="00D71B2D" w:rsidRPr="00D71B2D" w:rsidRDefault="00D71B2D" w:rsidP="00D71B2D">
      <w:pPr>
        <w:spacing w:line="240" w:lineRule="auto"/>
        <w:jc w:val="both"/>
        <w:rPr>
          <w:rFonts w:ascii="Garamond" w:hAnsi="Garamond"/>
          <w:lang w:val="en-US"/>
        </w:rPr>
      </w:pPr>
    </w:p>
    <w:p w14:paraId="6F166329" w14:textId="3E497E0D" w:rsidR="00D71B2D" w:rsidRPr="00D71B2D" w:rsidRDefault="00D71B2D" w:rsidP="00D71B2D">
      <w:pPr>
        <w:spacing w:line="240" w:lineRule="auto"/>
        <w:jc w:val="both"/>
        <w:rPr>
          <w:rFonts w:ascii="Garamond" w:hAnsi="Garamond"/>
        </w:rPr>
      </w:pPr>
      <w:r w:rsidRPr="00D71B2D">
        <w:rPr>
          <w:rFonts w:ascii="Garamond" w:hAnsi="Garamond"/>
        </w:rPr>
        <w:t xml:space="preserve">Appellate Body Report, European Communities – Measures Prohibiting the Importation and Marketing of Seal Products  (EC – Seal Products), </w:t>
      </w:r>
      <w:proofErr w:type="spellStart"/>
      <w:r w:rsidRPr="00D71B2D">
        <w:rPr>
          <w:rFonts w:ascii="Garamond" w:hAnsi="Garamond"/>
        </w:rPr>
        <w:t>WT</w:t>
      </w:r>
      <w:proofErr w:type="spellEnd"/>
      <w:r w:rsidRPr="00D71B2D">
        <w:rPr>
          <w:rFonts w:ascii="Garamond" w:hAnsi="Garamond"/>
        </w:rPr>
        <w:t>/DS400/</w:t>
      </w:r>
      <w:proofErr w:type="spellStart"/>
      <w:r w:rsidRPr="00D71B2D">
        <w:rPr>
          <w:rFonts w:ascii="Garamond" w:hAnsi="Garamond"/>
        </w:rPr>
        <w:t>ABR</w:t>
      </w:r>
      <w:proofErr w:type="spellEnd"/>
      <w:r w:rsidRPr="00D71B2D">
        <w:rPr>
          <w:rFonts w:ascii="Garamond" w:hAnsi="Garamond"/>
        </w:rPr>
        <w:t>/R, adopted 22 May 2014</w:t>
      </w:r>
      <w:r>
        <w:rPr>
          <w:rFonts w:ascii="Garamond" w:hAnsi="Garamond"/>
        </w:rPr>
        <w:t>.</w:t>
      </w:r>
    </w:p>
    <w:p w14:paraId="25307083" w14:textId="77777777" w:rsidR="00D71B2D" w:rsidRPr="00D71B2D" w:rsidRDefault="00D71B2D" w:rsidP="00D71B2D">
      <w:pPr>
        <w:spacing w:line="240" w:lineRule="auto"/>
        <w:jc w:val="both"/>
        <w:rPr>
          <w:rFonts w:ascii="Garamond" w:hAnsi="Garamond"/>
          <w:lang w:val="en-US"/>
        </w:rPr>
      </w:pPr>
    </w:p>
    <w:p w14:paraId="48E700BF" w14:textId="247584A1" w:rsidR="00D71B2D" w:rsidRPr="00D71B2D" w:rsidRDefault="00D71B2D" w:rsidP="00D71B2D">
      <w:pPr>
        <w:spacing w:line="240" w:lineRule="auto"/>
        <w:jc w:val="both"/>
        <w:rPr>
          <w:rFonts w:ascii="Garamond" w:hAnsi="Garamond"/>
          <w:lang w:val="en-US"/>
        </w:rPr>
      </w:pPr>
      <w:r w:rsidRPr="00D71B2D">
        <w:rPr>
          <w:rFonts w:ascii="Garamond" w:hAnsi="Garamond"/>
        </w:rPr>
        <w:t xml:space="preserve">Appellate Body Report, European Communities – Measures Affecting Asbestos and Products Containing Asbestos (EC – Asbestos), </w:t>
      </w:r>
      <w:proofErr w:type="spellStart"/>
      <w:r w:rsidRPr="00D71B2D">
        <w:rPr>
          <w:rFonts w:ascii="Garamond" w:hAnsi="Garamond"/>
        </w:rPr>
        <w:t>WT</w:t>
      </w:r>
      <w:proofErr w:type="spellEnd"/>
      <w:r w:rsidRPr="00D71B2D">
        <w:rPr>
          <w:rFonts w:ascii="Garamond" w:hAnsi="Garamond"/>
        </w:rPr>
        <w:t>/DS135/AB/R, adopted 12 March 2001</w:t>
      </w:r>
      <w:r>
        <w:rPr>
          <w:rFonts w:ascii="Garamond" w:hAnsi="Garamond"/>
        </w:rPr>
        <w:t>.</w:t>
      </w:r>
    </w:p>
    <w:p w14:paraId="65A9673B" w14:textId="77777777" w:rsidR="00D71B2D" w:rsidRPr="00D71B2D" w:rsidRDefault="00D71B2D" w:rsidP="00D71B2D">
      <w:pPr>
        <w:spacing w:line="240" w:lineRule="auto"/>
        <w:jc w:val="both"/>
        <w:rPr>
          <w:rFonts w:ascii="Garamond" w:hAnsi="Garamond"/>
          <w:lang w:val="en-US"/>
        </w:rPr>
      </w:pPr>
    </w:p>
    <w:p w14:paraId="698475FC" w14:textId="77777777" w:rsidR="00D71B2D" w:rsidRPr="00D71B2D" w:rsidRDefault="00D71B2D" w:rsidP="00D71B2D">
      <w:pPr>
        <w:spacing w:line="240" w:lineRule="auto"/>
        <w:jc w:val="both"/>
        <w:rPr>
          <w:rFonts w:ascii="Garamond" w:hAnsi="Garamond" w:cs="Times New Roman"/>
          <w:i/>
        </w:rPr>
      </w:pPr>
      <w:proofErr w:type="spellStart"/>
      <w:r w:rsidRPr="00D71B2D">
        <w:rPr>
          <w:rFonts w:ascii="Garamond" w:hAnsi="Garamond" w:cs="Times New Roman"/>
          <w:w w:val="105"/>
        </w:rPr>
        <w:t>Moïsé</w:t>
      </w:r>
      <w:proofErr w:type="spellEnd"/>
      <w:r w:rsidRPr="00D71B2D">
        <w:rPr>
          <w:rFonts w:ascii="Garamond" w:hAnsi="Garamond" w:cs="Times New Roman"/>
          <w:w w:val="105"/>
        </w:rPr>
        <w:t xml:space="preserve">, </w:t>
      </w:r>
      <w:proofErr w:type="spellStart"/>
      <w:r w:rsidRPr="00D71B2D">
        <w:rPr>
          <w:rFonts w:ascii="Garamond" w:hAnsi="Garamond" w:cs="Times New Roman"/>
          <w:w w:val="105"/>
        </w:rPr>
        <w:t>Edavokia</w:t>
      </w:r>
      <w:proofErr w:type="spellEnd"/>
      <w:r w:rsidRPr="00D71B2D">
        <w:rPr>
          <w:rFonts w:ascii="Garamond" w:hAnsi="Garamond" w:cs="Times New Roman"/>
          <w:w w:val="105"/>
        </w:rPr>
        <w:t xml:space="preserve"> and Ronald </w:t>
      </w:r>
      <w:proofErr w:type="spellStart"/>
      <w:r w:rsidRPr="00D71B2D">
        <w:rPr>
          <w:rFonts w:ascii="Garamond" w:hAnsi="Garamond" w:cs="Times New Roman"/>
          <w:w w:val="105"/>
        </w:rPr>
        <w:t>Steenblik</w:t>
      </w:r>
      <w:proofErr w:type="spellEnd"/>
      <w:r w:rsidRPr="00D71B2D">
        <w:rPr>
          <w:rFonts w:ascii="Garamond" w:hAnsi="Garamond" w:cs="Times New Roman"/>
          <w:w w:val="105"/>
        </w:rPr>
        <w:t>. (2011) “</w:t>
      </w:r>
      <w:r w:rsidRPr="00D71B2D">
        <w:rPr>
          <w:rFonts w:ascii="Garamond" w:hAnsi="Garamond" w:cs="Times New Roman"/>
          <w:i/>
          <w:w w:val="105"/>
        </w:rPr>
        <w:t>Trade-Related Measures Based on Processes and</w:t>
      </w:r>
    </w:p>
    <w:p w14:paraId="2EEA31C7" w14:textId="19AF2475" w:rsidR="00D71B2D" w:rsidRPr="00D71B2D" w:rsidRDefault="00D71B2D" w:rsidP="00D71B2D">
      <w:pPr>
        <w:spacing w:line="240" w:lineRule="auto"/>
        <w:jc w:val="both"/>
        <w:rPr>
          <w:rFonts w:ascii="Garamond" w:hAnsi="Garamond"/>
        </w:rPr>
      </w:pPr>
      <w:r w:rsidRPr="00D71B2D">
        <w:rPr>
          <w:rFonts w:ascii="Garamond" w:hAnsi="Garamond" w:cs="Times New Roman"/>
          <w:i/>
          <w:w w:val="105"/>
        </w:rPr>
        <w:t>Production Methods in the Context of Climate-Change Mitigation OECD”</w:t>
      </w:r>
      <w:r w:rsidRPr="00D71B2D">
        <w:rPr>
          <w:rFonts w:ascii="Garamond" w:hAnsi="Garamond" w:cs="Times New Roman"/>
          <w:w w:val="105"/>
        </w:rPr>
        <w:t xml:space="preserve">, OECD Trade and Environment Working Papers 2011/04, 6, </w:t>
      </w:r>
      <w:hyperlink r:id="rId10">
        <w:r w:rsidRPr="00D71B2D">
          <w:rPr>
            <w:rFonts w:ascii="Garamond" w:hAnsi="Garamond" w:cs="Times New Roman"/>
            <w:w w:val="105"/>
          </w:rPr>
          <w:t>http://www.oecd-ilibrary.org/trade/trade-related-measures-</w:t>
        </w:r>
      </w:hyperlink>
      <w:r w:rsidRPr="00D71B2D">
        <w:rPr>
          <w:rFonts w:ascii="Garamond" w:hAnsi="Garamond" w:cs="Times New Roman"/>
          <w:w w:val="105"/>
        </w:rPr>
        <w:t>based-on-processes-and-productionmethods-in-the-context-of-climate-change-mitigation_5kg6xssz26jg-en?crawler=true, accessed May 27,</w:t>
      </w:r>
      <w:r w:rsidRPr="00D71B2D">
        <w:rPr>
          <w:rFonts w:ascii="Garamond" w:hAnsi="Garamond" w:cs="Times New Roman"/>
          <w:spacing w:val="3"/>
          <w:w w:val="105"/>
        </w:rPr>
        <w:t xml:space="preserve"> </w:t>
      </w:r>
      <w:r w:rsidRPr="00D71B2D">
        <w:rPr>
          <w:rFonts w:ascii="Garamond" w:hAnsi="Garamond" w:cs="Times New Roman"/>
          <w:w w:val="105"/>
        </w:rPr>
        <w:t>2015.</w:t>
      </w:r>
    </w:p>
    <w:p w14:paraId="69BC6A26" w14:textId="77777777" w:rsidR="00D71B2D" w:rsidRPr="00D71B2D" w:rsidRDefault="00D71B2D" w:rsidP="00D71B2D">
      <w:pPr>
        <w:spacing w:line="240" w:lineRule="auto"/>
        <w:rPr>
          <w:rFonts w:ascii="Garamond" w:hAnsi="Garamond"/>
        </w:rPr>
      </w:pPr>
    </w:p>
    <w:p w14:paraId="7C411236" w14:textId="77777777" w:rsidR="00D71B2D" w:rsidRPr="00D71B2D" w:rsidRDefault="00D71B2D" w:rsidP="00D71B2D"/>
    <w:p w14:paraId="25AC29D8" w14:textId="58CE12D1" w:rsidR="00D71B2D" w:rsidRPr="001E566E" w:rsidRDefault="00D71B2D" w:rsidP="00F527AB">
      <w:pPr>
        <w:widowControl w:val="0"/>
        <w:autoSpaceDE w:val="0"/>
        <w:autoSpaceDN w:val="0"/>
        <w:adjustRightInd w:val="0"/>
        <w:spacing w:after="240" w:line="276" w:lineRule="auto"/>
        <w:jc w:val="both"/>
        <w:rPr>
          <w:rFonts w:ascii="Garamond" w:hAnsi="Garamond" w:cs="Helvetica Neue"/>
          <w:b/>
        </w:rPr>
      </w:pPr>
    </w:p>
    <w:sectPr w:rsidR="00D71B2D" w:rsidRPr="001E566E" w:rsidSect="009D2F62">
      <w:type w:val="continuous"/>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1D1DF" w14:textId="77777777" w:rsidR="002C574B" w:rsidRDefault="002C574B" w:rsidP="00F527AB">
      <w:pPr>
        <w:spacing w:line="240" w:lineRule="auto"/>
      </w:pPr>
      <w:r>
        <w:separator/>
      </w:r>
    </w:p>
  </w:endnote>
  <w:endnote w:type="continuationSeparator" w:id="0">
    <w:p w14:paraId="1D229EE0" w14:textId="77777777" w:rsidR="002C574B" w:rsidRDefault="002C574B" w:rsidP="00F52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ppleMyungjo">
    <w:panose1 w:val="02000500000000000000"/>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79CA6" w14:textId="77777777" w:rsidR="002C574B" w:rsidRDefault="002C574B">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9D64D" w14:textId="77777777" w:rsidR="002C574B" w:rsidRDefault="002C574B" w:rsidP="00F527AB">
      <w:pPr>
        <w:spacing w:line="240" w:lineRule="auto"/>
      </w:pPr>
      <w:r>
        <w:separator/>
      </w:r>
    </w:p>
  </w:footnote>
  <w:footnote w:type="continuationSeparator" w:id="0">
    <w:p w14:paraId="409B4F60" w14:textId="77777777" w:rsidR="002C574B" w:rsidRDefault="002C574B" w:rsidP="00F527AB">
      <w:pPr>
        <w:spacing w:line="240" w:lineRule="auto"/>
      </w:pPr>
      <w:r>
        <w:continuationSeparator/>
      </w:r>
    </w:p>
  </w:footnote>
  <w:footnote w:id="1">
    <w:p w14:paraId="3F5A9E49" w14:textId="042D4AA8" w:rsidR="002C574B" w:rsidRPr="002C574B" w:rsidRDefault="002C574B" w:rsidP="002C574B">
      <w:pPr>
        <w:pStyle w:val="Textonotapie"/>
        <w:jc w:val="both"/>
        <w:rPr>
          <w:rFonts w:ascii="Garamond" w:hAnsi="Garamond"/>
          <w:sz w:val="20"/>
          <w:szCs w:val="20"/>
        </w:rPr>
      </w:pPr>
      <w:r w:rsidRPr="002C574B">
        <w:rPr>
          <w:rStyle w:val="Refdenotaalpie"/>
          <w:rFonts w:ascii="Garamond" w:hAnsi="Garamond"/>
          <w:sz w:val="20"/>
          <w:szCs w:val="20"/>
        </w:rPr>
        <w:footnoteRef/>
      </w:r>
      <w:r w:rsidRPr="002C574B">
        <w:rPr>
          <w:rFonts w:ascii="Garamond" w:hAnsi="Garamond"/>
          <w:sz w:val="20"/>
          <w:szCs w:val="20"/>
        </w:rPr>
        <w:t xml:space="preserve"> See WTO Uruguay Round Agreement on Technical Barriers to Trade, 1994, in force since 1 January 1955. </w:t>
      </w:r>
    </w:p>
  </w:footnote>
  <w:footnote w:id="2">
    <w:p w14:paraId="7D4BC3CB" w14:textId="11EABE0D" w:rsidR="002C574B" w:rsidRPr="002C574B" w:rsidRDefault="002C574B" w:rsidP="002C574B">
      <w:pPr>
        <w:pStyle w:val="Textonotapie"/>
        <w:jc w:val="both"/>
        <w:rPr>
          <w:rFonts w:ascii="Garamond" w:hAnsi="Garamond"/>
          <w:sz w:val="20"/>
          <w:szCs w:val="20"/>
        </w:rPr>
      </w:pPr>
      <w:r w:rsidRPr="002C574B">
        <w:rPr>
          <w:rStyle w:val="Refdenotaalpie"/>
          <w:rFonts w:ascii="Garamond" w:hAnsi="Garamond"/>
          <w:sz w:val="20"/>
          <w:szCs w:val="20"/>
        </w:rPr>
        <w:footnoteRef/>
      </w:r>
      <w:r w:rsidRPr="002C574B">
        <w:rPr>
          <w:rFonts w:ascii="Garamond" w:hAnsi="Garamond"/>
          <w:sz w:val="20"/>
          <w:szCs w:val="20"/>
        </w:rPr>
        <w:t xml:space="preserve"> See Annex 1.1 of the </w:t>
      </w:r>
      <w:proofErr w:type="spellStart"/>
      <w:r w:rsidRPr="002C574B">
        <w:rPr>
          <w:rFonts w:ascii="Garamond" w:hAnsi="Garamond"/>
          <w:sz w:val="20"/>
          <w:szCs w:val="20"/>
        </w:rPr>
        <w:t>TBT</w:t>
      </w:r>
      <w:proofErr w:type="spellEnd"/>
      <w:r w:rsidRPr="002C574B">
        <w:rPr>
          <w:rFonts w:ascii="Garamond" w:hAnsi="Garamond"/>
          <w:sz w:val="20"/>
          <w:szCs w:val="20"/>
        </w:rPr>
        <w:t xml:space="preserve"> Agreement, n 1. </w:t>
      </w:r>
    </w:p>
  </w:footnote>
  <w:footnote w:id="3">
    <w:p w14:paraId="0344AAF9" w14:textId="53279EEC" w:rsidR="002C574B" w:rsidRPr="002C574B" w:rsidRDefault="002C574B" w:rsidP="002C574B">
      <w:pPr>
        <w:pStyle w:val="Textonotapie"/>
        <w:jc w:val="both"/>
        <w:rPr>
          <w:rFonts w:ascii="Garamond" w:hAnsi="Garamond"/>
        </w:rPr>
      </w:pPr>
      <w:r w:rsidRPr="002C574B">
        <w:rPr>
          <w:rStyle w:val="Refdenotaalpie"/>
          <w:rFonts w:ascii="Garamond" w:hAnsi="Garamond"/>
          <w:sz w:val="20"/>
          <w:szCs w:val="20"/>
        </w:rPr>
        <w:footnoteRef/>
      </w:r>
      <w:r w:rsidRPr="002C574B">
        <w:rPr>
          <w:rFonts w:ascii="Garamond" w:hAnsi="Garamond"/>
          <w:sz w:val="20"/>
          <w:szCs w:val="20"/>
        </w:rPr>
        <w:t xml:space="preserve"> See Annex 1.2 of the </w:t>
      </w:r>
      <w:proofErr w:type="spellStart"/>
      <w:r w:rsidRPr="002C574B">
        <w:rPr>
          <w:rFonts w:ascii="Garamond" w:hAnsi="Garamond"/>
          <w:sz w:val="20"/>
          <w:szCs w:val="20"/>
        </w:rPr>
        <w:t>TBT</w:t>
      </w:r>
      <w:proofErr w:type="spellEnd"/>
      <w:r w:rsidRPr="002C574B">
        <w:rPr>
          <w:rFonts w:ascii="Garamond" w:hAnsi="Garamond"/>
          <w:sz w:val="20"/>
          <w:szCs w:val="20"/>
        </w:rPr>
        <w:t xml:space="preserve"> Agreement, n 1.</w:t>
      </w:r>
      <w:r w:rsidRPr="002C574B">
        <w:rPr>
          <w:rFonts w:ascii="Garamond" w:hAnsi="Garamond"/>
        </w:rPr>
        <w:t xml:space="preserve"> </w:t>
      </w:r>
    </w:p>
  </w:footnote>
  <w:footnote w:id="4">
    <w:p w14:paraId="1E01AE05" w14:textId="02D10E61" w:rsidR="002C574B" w:rsidRPr="0023305F" w:rsidRDefault="002C574B" w:rsidP="002C574B">
      <w:pPr>
        <w:pStyle w:val="Textonotapie"/>
        <w:jc w:val="both"/>
        <w:rPr>
          <w:rFonts w:ascii="Garamond" w:hAnsi="Garamond"/>
          <w:sz w:val="20"/>
          <w:szCs w:val="20"/>
        </w:rPr>
      </w:pPr>
      <w:r w:rsidRPr="002C574B">
        <w:rPr>
          <w:rStyle w:val="Refdenotaalpie"/>
          <w:rFonts w:ascii="Garamond" w:hAnsi="Garamond"/>
          <w:sz w:val="20"/>
          <w:szCs w:val="20"/>
        </w:rPr>
        <w:footnoteRef/>
      </w:r>
      <w:r w:rsidRPr="002C574B">
        <w:rPr>
          <w:rFonts w:ascii="Garamond" w:hAnsi="Garamond"/>
          <w:sz w:val="20"/>
          <w:szCs w:val="20"/>
        </w:rPr>
        <w:t xml:space="preserve"> See Negotiating History of the Coverage of the Agreement on Technical Barriers to Trade with regards to Labelling Requirements, Voluntary Standards and Processes and Production Methods Unrelated to Product </w:t>
      </w:r>
      <w:bookmarkStart w:id="0" w:name="_GoBack"/>
      <w:bookmarkEnd w:id="0"/>
      <w:r w:rsidRPr="002C574B">
        <w:rPr>
          <w:rFonts w:ascii="Garamond" w:hAnsi="Garamond"/>
          <w:sz w:val="20"/>
          <w:szCs w:val="20"/>
        </w:rPr>
        <w:t>Characteristics, Committee on Trade and Environment and Committee on Technical Barriers to Trade, G/</w:t>
      </w:r>
      <w:proofErr w:type="spellStart"/>
      <w:r w:rsidRPr="002C574B">
        <w:rPr>
          <w:rFonts w:ascii="Garamond" w:hAnsi="Garamond"/>
          <w:sz w:val="20"/>
          <w:szCs w:val="20"/>
        </w:rPr>
        <w:t>TBT</w:t>
      </w:r>
      <w:proofErr w:type="spellEnd"/>
      <w:r w:rsidRPr="002C574B">
        <w:rPr>
          <w:rFonts w:ascii="Garamond" w:hAnsi="Garamond"/>
          <w:sz w:val="20"/>
          <w:szCs w:val="20"/>
        </w:rPr>
        <w:t>/W/11, adopted 29 August 1995</w:t>
      </w:r>
      <w:r>
        <w:rPr>
          <w:rFonts w:ascii="Garamond" w:hAnsi="Garamond"/>
          <w:sz w:val="20"/>
          <w:szCs w:val="20"/>
        </w:rPr>
        <w:t xml:space="preserve">, available at </w:t>
      </w:r>
      <w:hyperlink r:id="rId1" w:history="1">
        <w:r w:rsidRPr="002C574B">
          <w:rPr>
            <w:rStyle w:val="Hipervnculo"/>
            <w:rFonts w:ascii="Garamond" w:hAnsi="Garamond"/>
            <w:color w:val="auto"/>
            <w:sz w:val="20"/>
            <w:szCs w:val="20"/>
          </w:rPr>
          <w:t>https://docs.wto.org/dol2fe/Pages/FE_Search/FE_S_S009-DP.aspx?language=E&amp;CatalogueIdList=31257,28532,13465,27519,26653,3970,5515&amp;CurrentCatalogueIdIndex=6&amp;FullTextHash</w:t>
        </w:r>
      </w:hyperlink>
      <w:r w:rsidRPr="002C574B">
        <w:rPr>
          <w:rFonts w:ascii="Garamond" w:hAnsi="Garamond"/>
          <w:sz w:val="20"/>
          <w:szCs w:val="20"/>
        </w:rPr>
        <w:t>= [last addressed: 17 June 2019].</w:t>
      </w:r>
      <w:r w:rsidRPr="002C574B">
        <w:rPr>
          <w:sz w:val="20"/>
          <w:szCs w:val="20"/>
          <w:lang w:val="es-ES_tradnl"/>
        </w:rPr>
        <w:t xml:space="preserve"> </w:t>
      </w:r>
    </w:p>
  </w:footnote>
  <w:footnote w:id="5">
    <w:p w14:paraId="68803A09" w14:textId="3DD31051" w:rsidR="002C574B" w:rsidRPr="00F527AB" w:rsidRDefault="002C574B" w:rsidP="00252281">
      <w:pPr>
        <w:spacing w:line="209" w:lineRule="exact"/>
        <w:jc w:val="both"/>
        <w:rPr>
          <w:rFonts w:ascii="Garamond" w:hAnsi="Garamond" w:cs="Times New Roman"/>
          <w:sz w:val="20"/>
          <w:szCs w:val="20"/>
        </w:rPr>
      </w:pPr>
      <w:r w:rsidRPr="00F527AB">
        <w:rPr>
          <w:rStyle w:val="Refdenotaalpie"/>
          <w:rFonts w:ascii="Garamond" w:hAnsi="Garamond" w:cs="Times New Roman"/>
          <w:sz w:val="20"/>
          <w:szCs w:val="20"/>
        </w:rPr>
        <w:footnoteRef/>
      </w:r>
      <w:r w:rsidRPr="00F527AB">
        <w:rPr>
          <w:rFonts w:ascii="Garamond" w:hAnsi="Garamond" w:cs="Times New Roman"/>
          <w:sz w:val="20"/>
          <w:szCs w:val="20"/>
        </w:rPr>
        <w:t xml:space="preserve"> </w:t>
      </w:r>
      <w:r>
        <w:rPr>
          <w:rFonts w:ascii="Garamond" w:hAnsi="Garamond" w:cs="Times New Roman"/>
          <w:sz w:val="20"/>
          <w:szCs w:val="20"/>
        </w:rPr>
        <w:t xml:space="preserve">See </w:t>
      </w:r>
      <w:proofErr w:type="spellStart"/>
      <w:r w:rsidRPr="00F527AB">
        <w:rPr>
          <w:rFonts w:ascii="Garamond" w:hAnsi="Garamond" w:cs="Times New Roman"/>
          <w:w w:val="105"/>
          <w:sz w:val="20"/>
          <w:szCs w:val="20"/>
        </w:rPr>
        <w:t>ABR</w:t>
      </w:r>
      <w:proofErr w:type="spellEnd"/>
      <w:r w:rsidRPr="00F527AB">
        <w:rPr>
          <w:rFonts w:ascii="Garamond" w:hAnsi="Garamond" w:cs="Times New Roman"/>
          <w:w w:val="105"/>
          <w:sz w:val="20"/>
          <w:szCs w:val="20"/>
        </w:rPr>
        <w:t xml:space="preserve">, </w:t>
      </w:r>
      <w:r w:rsidRPr="00F527AB">
        <w:rPr>
          <w:rFonts w:ascii="Garamond" w:hAnsi="Garamond" w:cs="Times New Roman"/>
          <w:i/>
          <w:w w:val="105"/>
          <w:sz w:val="20"/>
          <w:szCs w:val="20"/>
        </w:rPr>
        <w:t>EC – Sardines</w:t>
      </w:r>
      <w:r w:rsidRPr="00F527AB">
        <w:rPr>
          <w:rFonts w:ascii="Garamond" w:hAnsi="Garamond" w:cs="Times New Roman"/>
          <w:w w:val="105"/>
          <w:sz w:val="20"/>
          <w:szCs w:val="20"/>
        </w:rPr>
        <w:t>,</w:t>
      </w:r>
      <w:r>
        <w:rPr>
          <w:rFonts w:ascii="Garamond" w:hAnsi="Garamond" w:cs="Times New Roman"/>
          <w:w w:val="105"/>
          <w:sz w:val="20"/>
          <w:szCs w:val="20"/>
        </w:rPr>
        <w:t xml:space="preserve"> </w:t>
      </w:r>
      <w:proofErr w:type="spellStart"/>
      <w:r>
        <w:rPr>
          <w:rFonts w:ascii="Garamond" w:hAnsi="Garamond" w:cs="Times New Roman"/>
          <w:w w:val="105"/>
          <w:sz w:val="20"/>
          <w:szCs w:val="20"/>
        </w:rPr>
        <w:t>WT</w:t>
      </w:r>
      <w:proofErr w:type="spellEnd"/>
      <w:r>
        <w:rPr>
          <w:rFonts w:ascii="Garamond" w:hAnsi="Garamond" w:cs="Times New Roman"/>
          <w:w w:val="105"/>
          <w:sz w:val="20"/>
          <w:szCs w:val="20"/>
        </w:rPr>
        <w:t>/DS231/AB/R,</w:t>
      </w:r>
      <w:r w:rsidRPr="00F527AB">
        <w:rPr>
          <w:rFonts w:ascii="Garamond" w:hAnsi="Garamond" w:cs="Times New Roman"/>
          <w:w w:val="105"/>
          <w:sz w:val="20"/>
          <w:szCs w:val="20"/>
        </w:rPr>
        <w:t xml:space="preserve"> </w:t>
      </w:r>
      <w:r>
        <w:rPr>
          <w:rFonts w:ascii="Garamond" w:hAnsi="Garamond" w:cs="Times New Roman"/>
          <w:w w:val="105"/>
          <w:sz w:val="20"/>
          <w:szCs w:val="20"/>
        </w:rPr>
        <w:t xml:space="preserve">adopted 26 September 2002, </w:t>
      </w:r>
      <w:proofErr w:type="spellStart"/>
      <w:r w:rsidRPr="00F527AB">
        <w:rPr>
          <w:rFonts w:ascii="Garamond" w:hAnsi="Garamond" w:cs="Times New Roman"/>
          <w:w w:val="105"/>
          <w:sz w:val="20"/>
          <w:szCs w:val="20"/>
        </w:rPr>
        <w:t>para</w:t>
      </w:r>
      <w:proofErr w:type="spellEnd"/>
      <w:r w:rsidRPr="00F527AB">
        <w:rPr>
          <w:rFonts w:ascii="Garamond" w:hAnsi="Garamond" w:cs="Times New Roman"/>
          <w:w w:val="105"/>
          <w:sz w:val="20"/>
          <w:szCs w:val="20"/>
        </w:rPr>
        <w:t xml:space="preserve">. 176. See also, </w:t>
      </w:r>
      <w:proofErr w:type="spellStart"/>
      <w:r w:rsidRPr="00F527AB">
        <w:rPr>
          <w:rFonts w:ascii="Garamond" w:hAnsi="Garamond" w:cs="Times New Roman"/>
          <w:w w:val="105"/>
          <w:sz w:val="20"/>
          <w:szCs w:val="20"/>
        </w:rPr>
        <w:t>ABR</w:t>
      </w:r>
      <w:proofErr w:type="spellEnd"/>
      <w:r w:rsidRPr="00F527AB">
        <w:rPr>
          <w:rFonts w:ascii="Garamond" w:hAnsi="Garamond" w:cs="Times New Roman"/>
          <w:w w:val="105"/>
          <w:sz w:val="20"/>
          <w:szCs w:val="20"/>
        </w:rPr>
        <w:t xml:space="preserve">, </w:t>
      </w:r>
      <w:r w:rsidRPr="00F527AB">
        <w:rPr>
          <w:rFonts w:ascii="Garamond" w:hAnsi="Garamond" w:cs="Times New Roman"/>
          <w:i/>
          <w:w w:val="105"/>
          <w:sz w:val="20"/>
          <w:szCs w:val="20"/>
        </w:rPr>
        <w:t>EC – Asbestos</w:t>
      </w:r>
      <w:r w:rsidRPr="00F527AB">
        <w:rPr>
          <w:rFonts w:ascii="Garamond" w:hAnsi="Garamond" w:cs="Times New Roman"/>
          <w:w w:val="105"/>
          <w:sz w:val="20"/>
          <w:szCs w:val="20"/>
        </w:rPr>
        <w:t xml:space="preserve">, </w:t>
      </w:r>
      <w:proofErr w:type="spellStart"/>
      <w:r>
        <w:rPr>
          <w:rFonts w:ascii="Garamond" w:hAnsi="Garamond" w:cs="Times New Roman"/>
          <w:w w:val="105"/>
          <w:sz w:val="20"/>
          <w:szCs w:val="20"/>
        </w:rPr>
        <w:t>WT</w:t>
      </w:r>
      <w:proofErr w:type="spellEnd"/>
      <w:r>
        <w:rPr>
          <w:rFonts w:ascii="Garamond" w:hAnsi="Garamond" w:cs="Times New Roman"/>
          <w:w w:val="105"/>
          <w:sz w:val="20"/>
          <w:szCs w:val="20"/>
        </w:rPr>
        <w:t xml:space="preserve">/DS135/AB/R, adopted 12 March 2001, </w:t>
      </w:r>
      <w:proofErr w:type="spellStart"/>
      <w:r w:rsidRPr="00F527AB">
        <w:rPr>
          <w:rFonts w:ascii="Garamond" w:hAnsi="Garamond" w:cs="Times New Roman"/>
          <w:w w:val="105"/>
          <w:sz w:val="20"/>
          <w:szCs w:val="20"/>
        </w:rPr>
        <w:t>paras</w:t>
      </w:r>
      <w:proofErr w:type="spellEnd"/>
      <w:r w:rsidRPr="00F527AB">
        <w:rPr>
          <w:rFonts w:ascii="Garamond" w:hAnsi="Garamond" w:cs="Times New Roman"/>
          <w:w w:val="105"/>
          <w:sz w:val="20"/>
          <w:szCs w:val="20"/>
        </w:rPr>
        <w:t>. 67-70.</w:t>
      </w:r>
    </w:p>
  </w:footnote>
  <w:footnote w:id="6">
    <w:p w14:paraId="1A3F6AE0" w14:textId="649A48EB" w:rsidR="002C574B" w:rsidRPr="00F527AB" w:rsidRDefault="002C574B" w:rsidP="00252281">
      <w:pPr>
        <w:pStyle w:val="Textonotapie"/>
        <w:jc w:val="both"/>
        <w:rPr>
          <w:rFonts w:ascii="Garamond" w:hAnsi="Garamond" w:cs="Times New Roman"/>
          <w:sz w:val="20"/>
          <w:szCs w:val="20"/>
          <w:lang w:val="es-ES_tradnl"/>
        </w:rPr>
      </w:pPr>
      <w:r w:rsidRPr="00F527AB">
        <w:rPr>
          <w:rStyle w:val="Refdenotaalpie"/>
          <w:rFonts w:ascii="Garamond" w:hAnsi="Garamond" w:cs="Times New Roman"/>
          <w:sz w:val="20"/>
          <w:szCs w:val="20"/>
        </w:rPr>
        <w:footnoteRef/>
      </w:r>
      <w:r w:rsidRPr="00F527AB">
        <w:rPr>
          <w:rFonts w:ascii="Garamond" w:hAnsi="Garamond" w:cs="Times New Roman"/>
          <w:sz w:val="20"/>
          <w:szCs w:val="20"/>
        </w:rPr>
        <w:t xml:space="preserve"> </w:t>
      </w:r>
      <w:r>
        <w:rPr>
          <w:rFonts w:ascii="Garamond" w:hAnsi="Garamond" w:cs="Times New Roman"/>
          <w:sz w:val="20"/>
          <w:szCs w:val="20"/>
        </w:rPr>
        <w:t xml:space="preserve">See </w:t>
      </w:r>
      <w:proofErr w:type="spellStart"/>
      <w:r w:rsidRPr="00F527AB">
        <w:rPr>
          <w:rFonts w:ascii="Garamond" w:hAnsi="Garamond" w:cs="Times New Roman"/>
          <w:sz w:val="20"/>
          <w:szCs w:val="20"/>
        </w:rPr>
        <w:t>ABR</w:t>
      </w:r>
      <w:proofErr w:type="spellEnd"/>
      <w:r w:rsidRPr="00F527AB">
        <w:rPr>
          <w:rFonts w:ascii="Garamond" w:hAnsi="Garamond" w:cs="Times New Roman"/>
          <w:sz w:val="20"/>
          <w:szCs w:val="20"/>
        </w:rPr>
        <w:t xml:space="preserve">, </w:t>
      </w:r>
      <w:r w:rsidRPr="00F527AB">
        <w:rPr>
          <w:rFonts w:ascii="Garamond" w:hAnsi="Garamond" w:cs="Times New Roman"/>
          <w:i/>
          <w:sz w:val="20"/>
          <w:szCs w:val="20"/>
        </w:rPr>
        <w:t>EC – Sardines</w:t>
      </w:r>
      <w:r w:rsidRPr="00F527AB">
        <w:rPr>
          <w:rFonts w:ascii="Garamond" w:hAnsi="Garamond" w:cs="Times New Roman"/>
          <w:sz w:val="20"/>
          <w:szCs w:val="20"/>
        </w:rPr>
        <w:t xml:space="preserve">, </w:t>
      </w:r>
      <w:r>
        <w:rPr>
          <w:rFonts w:ascii="Garamond" w:hAnsi="Garamond" w:cs="Times New Roman"/>
          <w:sz w:val="20"/>
          <w:szCs w:val="20"/>
        </w:rPr>
        <w:t xml:space="preserve">n 4, </w:t>
      </w:r>
      <w:proofErr w:type="spellStart"/>
      <w:r w:rsidRPr="00F527AB">
        <w:rPr>
          <w:rFonts w:ascii="Garamond" w:hAnsi="Garamond" w:cs="Times New Roman"/>
          <w:sz w:val="20"/>
          <w:szCs w:val="20"/>
        </w:rPr>
        <w:t>para</w:t>
      </w:r>
      <w:proofErr w:type="spellEnd"/>
      <w:r w:rsidRPr="00F527AB">
        <w:rPr>
          <w:rFonts w:ascii="Garamond" w:hAnsi="Garamond" w:cs="Times New Roman"/>
          <w:sz w:val="20"/>
          <w:szCs w:val="20"/>
        </w:rPr>
        <w:t xml:space="preserve"> </w:t>
      </w:r>
      <w:r w:rsidRPr="00F527AB">
        <w:rPr>
          <w:rFonts w:ascii="Garamond" w:hAnsi="Garamond" w:cs="Times New Roman"/>
          <w:color w:val="211E1E"/>
          <w:sz w:val="20"/>
          <w:szCs w:val="20"/>
        </w:rPr>
        <w:t>66-70.</w:t>
      </w:r>
    </w:p>
  </w:footnote>
  <w:footnote w:id="7">
    <w:p w14:paraId="0DF3D3AB" w14:textId="0DEC3937" w:rsidR="002C574B" w:rsidRPr="00F527AB" w:rsidRDefault="002C574B" w:rsidP="00252281">
      <w:pPr>
        <w:spacing w:line="228" w:lineRule="exact"/>
        <w:jc w:val="both"/>
        <w:rPr>
          <w:rFonts w:ascii="Garamond" w:hAnsi="Garamond" w:cs="Times New Roman"/>
          <w:sz w:val="20"/>
          <w:szCs w:val="20"/>
        </w:rPr>
      </w:pPr>
      <w:r w:rsidRPr="00F527AB">
        <w:rPr>
          <w:rStyle w:val="Refdenotaalpie"/>
          <w:rFonts w:ascii="Garamond" w:hAnsi="Garamond" w:cs="Times New Roman"/>
          <w:sz w:val="20"/>
          <w:szCs w:val="20"/>
        </w:rPr>
        <w:footnoteRef/>
      </w:r>
      <w:r w:rsidRPr="00F527AB">
        <w:rPr>
          <w:rFonts w:ascii="Garamond" w:hAnsi="Garamond" w:cs="Times New Roman"/>
          <w:sz w:val="20"/>
          <w:szCs w:val="20"/>
        </w:rPr>
        <w:t xml:space="preserve"> </w:t>
      </w:r>
      <w:r>
        <w:rPr>
          <w:rFonts w:ascii="Garamond" w:hAnsi="Garamond" w:cs="Times New Roman"/>
          <w:sz w:val="20"/>
          <w:szCs w:val="20"/>
        </w:rPr>
        <w:t xml:space="preserve">See </w:t>
      </w:r>
      <w:proofErr w:type="spellStart"/>
      <w:r w:rsidRPr="00F527AB">
        <w:rPr>
          <w:rFonts w:ascii="Garamond" w:hAnsi="Garamond" w:cs="Times New Roman"/>
          <w:w w:val="105"/>
          <w:sz w:val="20"/>
          <w:szCs w:val="20"/>
        </w:rPr>
        <w:t>ABR</w:t>
      </w:r>
      <w:proofErr w:type="spellEnd"/>
      <w:r w:rsidRPr="00F527AB">
        <w:rPr>
          <w:rFonts w:ascii="Garamond" w:hAnsi="Garamond" w:cs="Times New Roman"/>
          <w:w w:val="105"/>
          <w:sz w:val="20"/>
          <w:szCs w:val="20"/>
        </w:rPr>
        <w:t xml:space="preserve">, </w:t>
      </w:r>
      <w:r w:rsidRPr="00F527AB">
        <w:rPr>
          <w:rFonts w:ascii="Garamond" w:hAnsi="Garamond" w:cs="Times New Roman"/>
          <w:i/>
          <w:w w:val="105"/>
          <w:sz w:val="20"/>
          <w:szCs w:val="20"/>
        </w:rPr>
        <w:t>EC – Seal Products</w:t>
      </w:r>
      <w:r w:rsidRPr="00F527AB">
        <w:rPr>
          <w:rFonts w:ascii="Garamond" w:hAnsi="Garamond" w:cs="Times New Roman"/>
          <w:w w:val="105"/>
          <w:sz w:val="20"/>
          <w:szCs w:val="20"/>
        </w:rPr>
        <w:t xml:space="preserve">, </w:t>
      </w:r>
      <w:proofErr w:type="spellStart"/>
      <w:r>
        <w:rPr>
          <w:rFonts w:ascii="Garamond" w:hAnsi="Garamond" w:cs="Times New Roman"/>
          <w:w w:val="105"/>
          <w:sz w:val="20"/>
          <w:szCs w:val="20"/>
        </w:rPr>
        <w:t>WT</w:t>
      </w:r>
      <w:proofErr w:type="spellEnd"/>
      <w:r>
        <w:rPr>
          <w:rFonts w:ascii="Garamond" w:hAnsi="Garamond" w:cs="Times New Roman"/>
          <w:w w:val="105"/>
          <w:sz w:val="20"/>
          <w:szCs w:val="20"/>
        </w:rPr>
        <w:t xml:space="preserve">/DS400/AB/R, adopted 22 May 2014, </w:t>
      </w:r>
      <w:proofErr w:type="spellStart"/>
      <w:r w:rsidRPr="00F527AB">
        <w:rPr>
          <w:rFonts w:ascii="Garamond" w:hAnsi="Garamond" w:cs="Times New Roman"/>
          <w:w w:val="105"/>
          <w:sz w:val="20"/>
          <w:szCs w:val="20"/>
        </w:rPr>
        <w:t>para</w:t>
      </w:r>
      <w:proofErr w:type="spellEnd"/>
      <w:r w:rsidRPr="00F527AB">
        <w:rPr>
          <w:rFonts w:ascii="Garamond" w:hAnsi="Garamond" w:cs="Times New Roman"/>
          <w:w w:val="105"/>
          <w:sz w:val="20"/>
          <w:szCs w:val="20"/>
        </w:rPr>
        <w:t>. 5.11.</w:t>
      </w:r>
    </w:p>
  </w:footnote>
  <w:footnote w:id="8">
    <w:p w14:paraId="5E0BF4C0" w14:textId="26F50AB7" w:rsidR="002C574B" w:rsidRPr="00F527AB" w:rsidRDefault="002C574B" w:rsidP="00252281">
      <w:pPr>
        <w:pStyle w:val="Textonotapie"/>
        <w:jc w:val="both"/>
        <w:rPr>
          <w:rFonts w:ascii="Garamond" w:hAnsi="Garamond" w:cs="Times New Roman"/>
          <w:sz w:val="20"/>
          <w:szCs w:val="20"/>
          <w:lang w:val="es-ES_tradnl"/>
        </w:rPr>
      </w:pPr>
      <w:r w:rsidRPr="00F527AB">
        <w:rPr>
          <w:rStyle w:val="Refdenotaalpie"/>
          <w:rFonts w:ascii="Garamond" w:hAnsi="Garamond" w:cs="Times New Roman"/>
          <w:sz w:val="20"/>
          <w:szCs w:val="20"/>
        </w:rPr>
        <w:footnoteRef/>
      </w:r>
      <w:r w:rsidRPr="00F527AB">
        <w:rPr>
          <w:rFonts w:ascii="Garamond" w:hAnsi="Garamond" w:cs="Times New Roman"/>
          <w:sz w:val="20"/>
          <w:szCs w:val="20"/>
        </w:rPr>
        <w:t xml:space="preserve"> </w:t>
      </w:r>
      <w:proofErr w:type="gramStart"/>
      <w:r w:rsidRPr="00256ACC">
        <w:rPr>
          <w:rFonts w:ascii="Garamond" w:hAnsi="Garamond" w:cs="Times New Roman"/>
          <w:i/>
          <w:w w:val="105"/>
          <w:sz w:val="20"/>
          <w:szCs w:val="20"/>
        </w:rPr>
        <w:t>Ibid</w:t>
      </w:r>
      <w:r w:rsidRPr="00F527AB">
        <w:rPr>
          <w:rFonts w:ascii="Garamond" w:hAnsi="Garamond" w:cs="Times New Roman"/>
          <w:w w:val="105"/>
          <w:sz w:val="20"/>
          <w:szCs w:val="20"/>
        </w:rPr>
        <w:t xml:space="preserve">, </w:t>
      </w:r>
      <w:r>
        <w:rPr>
          <w:rFonts w:ascii="Garamond" w:hAnsi="Garamond" w:cs="Times New Roman"/>
          <w:w w:val="105"/>
          <w:sz w:val="20"/>
          <w:szCs w:val="20"/>
        </w:rPr>
        <w:t xml:space="preserve">n 4, </w:t>
      </w:r>
      <w:proofErr w:type="spellStart"/>
      <w:r w:rsidRPr="00F527AB">
        <w:rPr>
          <w:rFonts w:ascii="Garamond" w:hAnsi="Garamond" w:cs="Times New Roman"/>
          <w:w w:val="105"/>
          <w:sz w:val="20"/>
          <w:szCs w:val="20"/>
        </w:rPr>
        <w:t>para</w:t>
      </w:r>
      <w:proofErr w:type="spellEnd"/>
      <w:r w:rsidRPr="00F527AB">
        <w:rPr>
          <w:rFonts w:ascii="Garamond" w:hAnsi="Garamond" w:cs="Times New Roman"/>
          <w:w w:val="105"/>
          <w:sz w:val="20"/>
          <w:szCs w:val="20"/>
        </w:rPr>
        <w:t>.</w:t>
      </w:r>
      <w:proofErr w:type="gramEnd"/>
      <w:r w:rsidRPr="00F527AB">
        <w:rPr>
          <w:rFonts w:ascii="Garamond" w:hAnsi="Garamond" w:cs="Times New Roman"/>
          <w:w w:val="105"/>
          <w:sz w:val="20"/>
          <w:szCs w:val="20"/>
        </w:rPr>
        <w:t xml:space="preserve"> 5.11.</w:t>
      </w:r>
    </w:p>
  </w:footnote>
  <w:footnote w:id="9">
    <w:p w14:paraId="0BB95B58" w14:textId="21A8D524" w:rsidR="002C574B" w:rsidRPr="00F527AB" w:rsidRDefault="002C574B" w:rsidP="00252281">
      <w:pPr>
        <w:pStyle w:val="Textonotapie"/>
        <w:jc w:val="both"/>
        <w:rPr>
          <w:rFonts w:ascii="Garamond" w:hAnsi="Garamond" w:cs="Times New Roman"/>
          <w:sz w:val="20"/>
          <w:szCs w:val="20"/>
          <w:lang w:val="es-ES_tradnl"/>
        </w:rPr>
      </w:pPr>
      <w:r w:rsidRPr="00F527AB">
        <w:rPr>
          <w:rStyle w:val="Refdenotaalpie"/>
          <w:rFonts w:ascii="Garamond" w:hAnsi="Garamond" w:cs="Times New Roman"/>
          <w:sz w:val="20"/>
          <w:szCs w:val="20"/>
        </w:rPr>
        <w:footnoteRef/>
      </w:r>
      <w:r w:rsidRPr="00F527AB">
        <w:rPr>
          <w:rFonts w:ascii="Garamond" w:hAnsi="Garamond" w:cs="Times New Roman"/>
          <w:sz w:val="20"/>
          <w:szCs w:val="20"/>
        </w:rPr>
        <w:t xml:space="preserve"> </w:t>
      </w:r>
      <w:proofErr w:type="gramStart"/>
      <w:r w:rsidRPr="00256ACC">
        <w:rPr>
          <w:rFonts w:ascii="Garamond" w:hAnsi="Garamond" w:cs="Times New Roman"/>
          <w:i/>
          <w:sz w:val="20"/>
          <w:szCs w:val="20"/>
        </w:rPr>
        <w:t>Ibid</w:t>
      </w:r>
      <w:r w:rsidRPr="00F527AB">
        <w:rPr>
          <w:rFonts w:ascii="Garamond" w:hAnsi="Garamond" w:cs="Times New Roman"/>
          <w:sz w:val="20"/>
          <w:szCs w:val="20"/>
        </w:rPr>
        <w:t xml:space="preserve">, </w:t>
      </w:r>
      <w:r>
        <w:rPr>
          <w:rFonts w:ascii="Garamond" w:hAnsi="Garamond" w:cs="Times New Roman"/>
          <w:sz w:val="20"/>
          <w:szCs w:val="20"/>
        </w:rPr>
        <w:t xml:space="preserve">n 4, </w:t>
      </w:r>
      <w:proofErr w:type="spellStart"/>
      <w:r>
        <w:rPr>
          <w:rFonts w:ascii="Garamond" w:hAnsi="Garamond" w:cs="Times New Roman"/>
          <w:sz w:val="20"/>
          <w:szCs w:val="20"/>
        </w:rPr>
        <w:t>para</w:t>
      </w:r>
      <w:proofErr w:type="spellEnd"/>
      <w:r>
        <w:rPr>
          <w:rFonts w:ascii="Garamond" w:hAnsi="Garamond" w:cs="Times New Roman"/>
          <w:sz w:val="20"/>
          <w:szCs w:val="20"/>
        </w:rPr>
        <w:t>.</w:t>
      </w:r>
      <w:proofErr w:type="gramEnd"/>
      <w:r>
        <w:rPr>
          <w:rFonts w:ascii="Garamond" w:hAnsi="Garamond" w:cs="Times New Roman"/>
          <w:sz w:val="20"/>
          <w:szCs w:val="20"/>
        </w:rPr>
        <w:t xml:space="preserve"> </w:t>
      </w:r>
      <w:r w:rsidRPr="00F527AB">
        <w:rPr>
          <w:rFonts w:ascii="Garamond" w:hAnsi="Garamond" w:cs="Times New Roman"/>
          <w:sz w:val="20"/>
          <w:szCs w:val="20"/>
        </w:rPr>
        <w:t>5.69.</w:t>
      </w:r>
    </w:p>
  </w:footnote>
  <w:footnote w:id="10">
    <w:p w14:paraId="60F20088" w14:textId="65058491" w:rsidR="002C574B" w:rsidRPr="00F527AB" w:rsidRDefault="002C574B" w:rsidP="00252281">
      <w:pPr>
        <w:pStyle w:val="Textonotapie"/>
        <w:jc w:val="both"/>
        <w:rPr>
          <w:rFonts w:ascii="Garamond" w:hAnsi="Garamond" w:cs="Times New Roman"/>
          <w:sz w:val="20"/>
          <w:szCs w:val="20"/>
          <w:lang w:val="es-ES_tradnl"/>
        </w:rPr>
      </w:pPr>
      <w:r w:rsidRPr="00F527AB">
        <w:rPr>
          <w:rStyle w:val="Refdenotaalpie"/>
          <w:rFonts w:ascii="Garamond" w:hAnsi="Garamond" w:cs="Times New Roman"/>
          <w:sz w:val="20"/>
          <w:szCs w:val="20"/>
        </w:rPr>
        <w:footnoteRef/>
      </w:r>
      <w:r w:rsidRPr="00F527AB">
        <w:rPr>
          <w:rFonts w:ascii="Garamond" w:hAnsi="Garamond" w:cs="Times New Roman"/>
          <w:sz w:val="20"/>
          <w:szCs w:val="20"/>
        </w:rPr>
        <w:t xml:space="preserve"> </w:t>
      </w:r>
      <w:proofErr w:type="gramStart"/>
      <w:r w:rsidRPr="00256ACC">
        <w:rPr>
          <w:rFonts w:ascii="Garamond" w:hAnsi="Garamond" w:cs="Times New Roman"/>
          <w:i/>
          <w:w w:val="105"/>
          <w:sz w:val="20"/>
          <w:szCs w:val="20"/>
        </w:rPr>
        <w:t>Ibid</w:t>
      </w:r>
      <w:r w:rsidRPr="00F527AB">
        <w:rPr>
          <w:rFonts w:ascii="Garamond" w:hAnsi="Garamond" w:cs="Times New Roman"/>
          <w:w w:val="105"/>
          <w:sz w:val="20"/>
          <w:szCs w:val="20"/>
        </w:rPr>
        <w:t>,</w:t>
      </w:r>
      <w:r>
        <w:rPr>
          <w:rFonts w:ascii="Garamond" w:hAnsi="Garamond" w:cs="Times New Roman"/>
          <w:w w:val="105"/>
          <w:sz w:val="20"/>
          <w:szCs w:val="20"/>
        </w:rPr>
        <w:t xml:space="preserve"> n 4,</w:t>
      </w:r>
      <w:r w:rsidRPr="00F527AB">
        <w:rPr>
          <w:rFonts w:ascii="Garamond" w:hAnsi="Garamond" w:cs="Times New Roman"/>
          <w:w w:val="105"/>
          <w:sz w:val="20"/>
          <w:szCs w:val="20"/>
        </w:rPr>
        <w:t xml:space="preserve"> </w:t>
      </w:r>
      <w:proofErr w:type="spellStart"/>
      <w:r w:rsidRPr="00F527AB">
        <w:rPr>
          <w:rFonts w:ascii="Garamond" w:hAnsi="Garamond" w:cs="Times New Roman"/>
          <w:w w:val="105"/>
          <w:sz w:val="20"/>
          <w:szCs w:val="20"/>
        </w:rPr>
        <w:t>para</w:t>
      </w:r>
      <w:proofErr w:type="spellEnd"/>
      <w:r w:rsidRPr="00F527AB">
        <w:rPr>
          <w:rFonts w:ascii="Garamond" w:hAnsi="Garamond" w:cs="Times New Roman"/>
          <w:w w:val="105"/>
          <w:sz w:val="20"/>
          <w:szCs w:val="20"/>
        </w:rPr>
        <w:t>.</w:t>
      </w:r>
      <w:proofErr w:type="gramEnd"/>
      <w:r w:rsidRPr="00F527AB">
        <w:rPr>
          <w:rFonts w:ascii="Garamond" w:hAnsi="Garamond" w:cs="Times New Roman"/>
          <w:w w:val="105"/>
          <w:sz w:val="20"/>
          <w:szCs w:val="20"/>
        </w:rPr>
        <w:t xml:space="preserve"> 5.12</w:t>
      </w:r>
    </w:p>
  </w:footnote>
  <w:footnote w:id="11">
    <w:p w14:paraId="3F0B38C6" w14:textId="3A5B9E4A" w:rsidR="002C574B" w:rsidRPr="00F527AB" w:rsidRDefault="002C574B" w:rsidP="00252281">
      <w:pPr>
        <w:spacing w:before="47" w:line="240" w:lineRule="auto"/>
        <w:ind w:right="102"/>
        <w:jc w:val="both"/>
        <w:rPr>
          <w:rFonts w:ascii="Garamond" w:hAnsi="Garamond" w:cs="Times New Roman"/>
          <w:sz w:val="20"/>
          <w:szCs w:val="20"/>
        </w:rPr>
      </w:pPr>
      <w:r w:rsidRPr="00F527AB">
        <w:rPr>
          <w:rStyle w:val="Refdenotaalpie"/>
          <w:rFonts w:ascii="Garamond" w:hAnsi="Garamond" w:cs="Times New Roman"/>
          <w:sz w:val="20"/>
          <w:szCs w:val="20"/>
        </w:rPr>
        <w:footnoteRef/>
      </w:r>
      <w:proofErr w:type="gramStart"/>
      <w:r w:rsidRPr="00256ACC">
        <w:rPr>
          <w:rFonts w:ascii="Garamond" w:hAnsi="Garamond" w:cs="Times New Roman"/>
          <w:i/>
          <w:w w:val="105"/>
          <w:sz w:val="20"/>
          <w:szCs w:val="20"/>
        </w:rPr>
        <w:t>Ibid</w:t>
      </w:r>
      <w:r w:rsidRPr="00F527AB">
        <w:rPr>
          <w:rFonts w:ascii="Garamond" w:hAnsi="Garamond" w:cs="Times New Roman"/>
          <w:w w:val="105"/>
          <w:sz w:val="20"/>
          <w:szCs w:val="20"/>
        </w:rPr>
        <w:t xml:space="preserve">, </w:t>
      </w:r>
      <w:r>
        <w:rPr>
          <w:rFonts w:ascii="Garamond" w:hAnsi="Garamond" w:cs="Times New Roman"/>
          <w:w w:val="105"/>
          <w:sz w:val="20"/>
          <w:szCs w:val="20"/>
        </w:rPr>
        <w:t xml:space="preserve">n 4, </w:t>
      </w:r>
      <w:proofErr w:type="spellStart"/>
      <w:r w:rsidRPr="00F527AB">
        <w:rPr>
          <w:rFonts w:ascii="Garamond" w:hAnsi="Garamond" w:cs="Times New Roman"/>
          <w:w w:val="105"/>
          <w:sz w:val="20"/>
          <w:szCs w:val="20"/>
        </w:rPr>
        <w:t>paras</w:t>
      </w:r>
      <w:proofErr w:type="spellEnd"/>
      <w:r>
        <w:rPr>
          <w:rFonts w:ascii="Garamond" w:hAnsi="Garamond" w:cs="Times New Roman"/>
          <w:w w:val="105"/>
          <w:sz w:val="20"/>
          <w:szCs w:val="20"/>
        </w:rPr>
        <w:t>.</w:t>
      </w:r>
      <w:proofErr w:type="gramEnd"/>
      <w:r w:rsidRPr="00F527AB">
        <w:rPr>
          <w:rFonts w:ascii="Garamond" w:hAnsi="Garamond" w:cs="Times New Roman"/>
          <w:w w:val="105"/>
          <w:sz w:val="20"/>
          <w:szCs w:val="20"/>
        </w:rPr>
        <w:t xml:space="preserve"> </w:t>
      </w:r>
      <w:proofErr w:type="gramStart"/>
      <w:r w:rsidRPr="00F527AB">
        <w:rPr>
          <w:rFonts w:ascii="Garamond" w:hAnsi="Garamond" w:cs="Times New Roman"/>
          <w:w w:val="105"/>
          <w:sz w:val="20"/>
          <w:szCs w:val="20"/>
        </w:rPr>
        <w:t>5.11-5.12 where the AB noted that the second sentence of Annex 1.1.</w:t>
      </w:r>
      <w:proofErr w:type="gramEnd"/>
      <w:r w:rsidRPr="00F527AB">
        <w:rPr>
          <w:rFonts w:ascii="Garamond" w:hAnsi="Garamond" w:cs="Times New Roman"/>
          <w:w w:val="105"/>
          <w:sz w:val="20"/>
          <w:szCs w:val="20"/>
        </w:rPr>
        <w:t xml:space="preserve"> </w:t>
      </w:r>
      <w:proofErr w:type="spellStart"/>
      <w:r w:rsidRPr="00F527AB">
        <w:rPr>
          <w:rFonts w:ascii="Garamond" w:hAnsi="Garamond" w:cs="Times New Roman"/>
          <w:w w:val="105"/>
          <w:sz w:val="20"/>
          <w:szCs w:val="20"/>
        </w:rPr>
        <w:t>TBT</w:t>
      </w:r>
      <w:proofErr w:type="spellEnd"/>
      <w:r w:rsidRPr="00F527AB">
        <w:rPr>
          <w:rFonts w:ascii="Garamond" w:hAnsi="Garamond" w:cs="Times New Roman"/>
          <w:w w:val="105"/>
          <w:sz w:val="20"/>
          <w:szCs w:val="20"/>
        </w:rPr>
        <w:t xml:space="preserve"> Agreement provides useful examples of product characteristics, which can guide a panel´s interpretation.</w:t>
      </w:r>
    </w:p>
  </w:footnote>
  <w:footnote w:id="12">
    <w:p w14:paraId="33C54524" w14:textId="5AF3BDC8" w:rsidR="002C574B" w:rsidRPr="00D06F84" w:rsidRDefault="002C574B" w:rsidP="00D06F84">
      <w:pPr>
        <w:spacing w:line="240" w:lineRule="auto"/>
        <w:jc w:val="both"/>
        <w:rPr>
          <w:rFonts w:ascii="Garamond" w:hAnsi="Garamond" w:cs="Times New Roman"/>
          <w:i/>
          <w:sz w:val="20"/>
          <w:szCs w:val="20"/>
        </w:rPr>
      </w:pPr>
      <w:r w:rsidRPr="00F527AB">
        <w:rPr>
          <w:rStyle w:val="Refdenotaalpie"/>
          <w:rFonts w:ascii="Garamond" w:hAnsi="Garamond" w:cs="Times New Roman"/>
          <w:sz w:val="20"/>
          <w:szCs w:val="20"/>
        </w:rPr>
        <w:footnoteRef/>
      </w:r>
      <w:proofErr w:type="spellStart"/>
      <w:r w:rsidRPr="00F527AB">
        <w:rPr>
          <w:rFonts w:ascii="Garamond" w:hAnsi="Garamond" w:cs="Times New Roman"/>
          <w:w w:val="105"/>
          <w:sz w:val="20"/>
          <w:szCs w:val="20"/>
        </w:rPr>
        <w:t>Moïsé</w:t>
      </w:r>
      <w:proofErr w:type="spellEnd"/>
      <w:r w:rsidRPr="00F527AB">
        <w:rPr>
          <w:rFonts w:ascii="Garamond" w:hAnsi="Garamond" w:cs="Times New Roman"/>
          <w:w w:val="105"/>
          <w:sz w:val="20"/>
          <w:szCs w:val="20"/>
        </w:rPr>
        <w:t xml:space="preserve">, </w:t>
      </w:r>
      <w:proofErr w:type="spellStart"/>
      <w:r w:rsidRPr="00F527AB">
        <w:rPr>
          <w:rFonts w:ascii="Garamond" w:hAnsi="Garamond" w:cs="Times New Roman"/>
          <w:w w:val="105"/>
          <w:sz w:val="20"/>
          <w:szCs w:val="20"/>
        </w:rPr>
        <w:t>Edavokia</w:t>
      </w:r>
      <w:proofErr w:type="spellEnd"/>
      <w:r w:rsidRPr="00F527AB">
        <w:rPr>
          <w:rFonts w:ascii="Garamond" w:hAnsi="Garamond" w:cs="Times New Roman"/>
          <w:w w:val="105"/>
          <w:sz w:val="20"/>
          <w:szCs w:val="20"/>
        </w:rPr>
        <w:t xml:space="preserve"> and Ronald </w:t>
      </w:r>
      <w:proofErr w:type="spellStart"/>
      <w:r w:rsidRPr="00F527AB">
        <w:rPr>
          <w:rFonts w:ascii="Garamond" w:hAnsi="Garamond" w:cs="Times New Roman"/>
          <w:w w:val="105"/>
          <w:sz w:val="20"/>
          <w:szCs w:val="20"/>
        </w:rPr>
        <w:t>Steenblik</w:t>
      </w:r>
      <w:proofErr w:type="spellEnd"/>
      <w:r w:rsidRPr="00F527AB">
        <w:rPr>
          <w:rFonts w:ascii="Garamond" w:hAnsi="Garamond" w:cs="Times New Roman"/>
          <w:w w:val="105"/>
          <w:sz w:val="20"/>
          <w:szCs w:val="20"/>
        </w:rPr>
        <w:t>. (2011) “</w:t>
      </w:r>
      <w:r w:rsidRPr="00F527AB">
        <w:rPr>
          <w:rFonts w:ascii="Garamond" w:hAnsi="Garamond" w:cs="Times New Roman"/>
          <w:i/>
          <w:w w:val="105"/>
          <w:sz w:val="20"/>
          <w:szCs w:val="20"/>
        </w:rPr>
        <w:t>Trade-Related Measures Based on Processes and</w:t>
      </w:r>
      <w:r>
        <w:rPr>
          <w:rFonts w:ascii="Garamond" w:hAnsi="Garamond" w:cs="Times New Roman"/>
          <w:i/>
          <w:sz w:val="20"/>
          <w:szCs w:val="20"/>
        </w:rPr>
        <w:t xml:space="preserve"> </w:t>
      </w:r>
      <w:r w:rsidRPr="00F527AB">
        <w:rPr>
          <w:rFonts w:ascii="Garamond" w:hAnsi="Garamond" w:cs="Times New Roman"/>
          <w:i/>
          <w:w w:val="105"/>
          <w:sz w:val="20"/>
          <w:szCs w:val="20"/>
        </w:rPr>
        <w:t>Production Methods in the Context</w:t>
      </w:r>
      <w:r>
        <w:rPr>
          <w:rFonts w:ascii="Garamond" w:hAnsi="Garamond" w:cs="Times New Roman"/>
          <w:i/>
          <w:w w:val="105"/>
          <w:sz w:val="20"/>
          <w:szCs w:val="20"/>
        </w:rPr>
        <w:t xml:space="preserve"> of Climate-Change Mitigation O</w:t>
      </w:r>
      <w:r w:rsidRPr="00F527AB">
        <w:rPr>
          <w:rFonts w:ascii="Garamond" w:hAnsi="Garamond" w:cs="Times New Roman"/>
          <w:i/>
          <w:w w:val="105"/>
          <w:sz w:val="20"/>
          <w:szCs w:val="20"/>
        </w:rPr>
        <w:t>E</w:t>
      </w:r>
      <w:r>
        <w:rPr>
          <w:rFonts w:ascii="Garamond" w:hAnsi="Garamond" w:cs="Times New Roman"/>
          <w:i/>
          <w:w w:val="105"/>
          <w:sz w:val="20"/>
          <w:szCs w:val="20"/>
        </w:rPr>
        <w:t>C</w:t>
      </w:r>
      <w:r w:rsidRPr="00F527AB">
        <w:rPr>
          <w:rFonts w:ascii="Garamond" w:hAnsi="Garamond" w:cs="Times New Roman"/>
          <w:i/>
          <w:w w:val="105"/>
          <w:sz w:val="20"/>
          <w:szCs w:val="20"/>
        </w:rPr>
        <w:t>D”</w:t>
      </w:r>
      <w:r w:rsidRPr="00F527AB">
        <w:rPr>
          <w:rFonts w:ascii="Garamond" w:hAnsi="Garamond" w:cs="Times New Roman"/>
          <w:w w:val="105"/>
          <w:sz w:val="20"/>
          <w:szCs w:val="20"/>
        </w:rPr>
        <w:t xml:space="preserve">, OECD Trade and Environment Working Papers 2011/04, 6, </w:t>
      </w:r>
      <w:hyperlink r:id="rId2">
        <w:r w:rsidRPr="00F527AB">
          <w:rPr>
            <w:rFonts w:ascii="Garamond" w:hAnsi="Garamond" w:cs="Times New Roman"/>
            <w:w w:val="105"/>
            <w:sz w:val="20"/>
            <w:szCs w:val="20"/>
          </w:rPr>
          <w:t>http://www.oecd-ilibrary.org/trade/trade-related-measures-</w:t>
        </w:r>
      </w:hyperlink>
      <w:r w:rsidRPr="00F527AB">
        <w:rPr>
          <w:rFonts w:ascii="Garamond" w:hAnsi="Garamond" w:cs="Times New Roman"/>
          <w:w w:val="105"/>
          <w:sz w:val="20"/>
          <w:szCs w:val="20"/>
        </w:rPr>
        <w:t>bas</w:t>
      </w:r>
      <w:r>
        <w:rPr>
          <w:rFonts w:ascii="Garamond" w:hAnsi="Garamond" w:cs="Times New Roman"/>
          <w:w w:val="105"/>
          <w:sz w:val="20"/>
          <w:szCs w:val="20"/>
        </w:rPr>
        <w:t>ed-on-processes-and-production</w:t>
      </w:r>
      <w:r w:rsidRPr="00F527AB">
        <w:rPr>
          <w:rFonts w:ascii="Garamond" w:hAnsi="Garamond" w:cs="Times New Roman"/>
          <w:w w:val="105"/>
          <w:sz w:val="20"/>
          <w:szCs w:val="20"/>
        </w:rPr>
        <w:t>methods-in</w:t>
      </w:r>
      <w:r>
        <w:rPr>
          <w:rFonts w:ascii="Garamond" w:hAnsi="Garamond" w:cs="Times New Roman"/>
          <w:w w:val="105"/>
          <w:sz w:val="20"/>
          <w:szCs w:val="20"/>
        </w:rPr>
        <w:t>-the-context-of-climate-change-</w:t>
      </w:r>
      <w:r w:rsidRPr="00F527AB">
        <w:rPr>
          <w:rFonts w:ascii="Garamond" w:hAnsi="Garamond" w:cs="Times New Roman"/>
          <w:w w:val="105"/>
          <w:sz w:val="20"/>
          <w:szCs w:val="20"/>
        </w:rPr>
        <w:t>mitigation_5kg6xssz26jg-en?crawler=true, accessed May 27,</w:t>
      </w:r>
      <w:r w:rsidRPr="00F527AB">
        <w:rPr>
          <w:rFonts w:ascii="Garamond" w:hAnsi="Garamond" w:cs="Times New Roman"/>
          <w:spacing w:val="3"/>
          <w:w w:val="105"/>
          <w:sz w:val="20"/>
          <w:szCs w:val="20"/>
        </w:rPr>
        <w:t xml:space="preserve"> </w:t>
      </w:r>
      <w:r w:rsidRPr="00F527AB">
        <w:rPr>
          <w:rFonts w:ascii="Garamond" w:hAnsi="Garamond" w:cs="Times New Roman"/>
          <w:w w:val="105"/>
          <w:sz w:val="20"/>
          <w:szCs w:val="20"/>
        </w:rPr>
        <w:t>2015.</w:t>
      </w:r>
    </w:p>
  </w:footnote>
  <w:footnote w:id="13">
    <w:p w14:paraId="31FA42F5" w14:textId="22348D37" w:rsidR="002C574B" w:rsidRPr="00F527AB" w:rsidRDefault="002C574B" w:rsidP="00252281">
      <w:pPr>
        <w:pStyle w:val="Textonotapie"/>
        <w:jc w:val="both"/>
        <w:rPr>
          <w:rFonts w:ascii="Garamond" w:hAnsi="Garamond" w:cs="Times New Roman"/>
          <w:sz w:val="20"/>
          <w:szCs w:val="20"/>
          <w:lang w:val="es-ES_tradnl"/>
        </w:rPr>
      </w:pPr>
      <w:r w:rsidRPr="00F527AB">
        <w:rPr>
          <w:rStyle w:val="Refdenotaalpie"/>
          <w:rFonts w:ascii="Garamond" w:hAnsi="Garamond" w:cs="Times New Roman"/>
          <w:sz w:val="20"/>
          <w:szCs w:val="20"/>
        </w:rPr>
        <w:footnoteRef/>
      </w:r>
      <w:r w:rsidRPr="00F527AB">
        <w:rPr>
          <w:rFonts w:ascii="Garamond" w:hAnsi="Garamond" w:cs="Times New Roman"/>
          <w:sz w:val="20"/>
          <w:szCs w:val="20"/>
        </w:rPr>
        <w:t xml:space="preserve"> </w:t>
      </w:r>
      <w:r>
        <w:rPr>
          <w:rFonts w:ascii="Garamond" w:hAnsi="Garamond" w:cs="Times New Roman"/>
          <w:sz w:val="20"/>
          <w:szCs w:val="20"/>
        </w:rPr>
        <w:t xml:space="preserve">See </w:t>
      </w:r>
      <w:r w:rsidRPr="00F527AB">
        <w:rPr>
          <w:rFonts w:ascii="Garamond" w:hAnsi="Garamond" w:cs="Times New Roman"/>
          <w:sz w:val="20"/>
          <w:szCs w:val="20"/>
        </w:rPr>
        <w:t>U</w:t>
      </w:r>
      <w:r w:rsidRPr="00F527AB">
        <w:rPr>
          <w:rFonts w:ascii="Garamond" w:hAnsi="Garamond" w:cs="Times New Roman"/>
          <w:w w:val="105"/>
          <w:sz w:val="20"/>
          <w:szCs w:val="20"/>
        </w:rPr>
        <w:t xml:space="preserve">nited State’s appellant’s submission, </w:t>
      </w:r>
      <w:proofErr w:type="spellStart"/>
      <w:r w:rsidRPr="00F527AB">
        <w:rPr>
          <w:rFonts w:ascii="Garamond" w:hAnsi="Garamond" w:cs="Times New Roman"/>
          <w:w w:val="105"/>
          <w:sz w:val="20"/>
          <w:szCs w:val="20"/>
        </w:rPr>
        <w:t>para</w:t>
      </w:r>
      <w:proofErr w:type="spellEnd"/>
      <w:r w:rsidRPr="00F527AB">
        <w:rPr>
          <w:rFonts w:ascii="Garamond" w:hAnsi="Garamond" w:cs="Times New Roman"/>
          <w:w w:val="105"/>
          <w:sz w:val="20"/>
          <w:szCs w:val="20"/>
        </w:rPr>
        <w:t xml:space="preserve">. </w:t>
      </w:r>
      <w:proofErr w:type="gramStart"/>
      <w:r w:rsidRPr="00F527AB">
        <w:rPr>
          <w:rFonts w:ascii="Garamond" w:hAnsi="Garamond" w:cs="Times New Roman"/>
          <w:w w:val="105"/>
          <w:sz w:val="20"/>
          <w:szCs w:val="20"/>
        </w:rPr>
        <w:t xml:space="preserve">32 (as referred to in </w:t>
      </w:r>
      <w:proofErr w:type="spellStart"/>
      <w:r w:rsidRPr="00F527AB">
        <w:rPr>
          <w:rFonts w:ascii="Garamond" w:hAnsi="Garamond" w:cs="Times New Roman"/>
          <w:w w:val="105"/>
          <w:sz w:val="20"/>
          <w:szCs w:val="20"/>
        </w:rPr>
        <w:t>ABR</w:t>
      </w:r>
      <w:proofErr w:type="spellEnd"/>
      <w:r w:rsidRPr="00F527AB">
        <w:rPr>
          <w:rFonts w:ascii="Garamond" w:hAnsi="Garamond" w:cs="Times New Roman"/>
          <w:w w:val="105"/>
          <w:sz w:val="20"/>
          <w:szCs w:val="20"/>
        </w:rPr>
        <w:t xml:space="preserve">, </w:t>
      </w:r>
      <w:r w:rsidRPr="00F527AB">
        <w:rPr>
          <w:rFonts w:ascii="Garamond" w:hAnsi="Garamond" w:cs="Times New Roman"/>
          <w:i/>
          <w:w w:val="105"/>
          <w:sz w:val="20"/>
          <w:szCs w:val="20"/>
        </w:rPr>
        <w:t>US – Tuna II</w:t>
      </w:r>
      <w:r w:rsidRPr="00F527AB">
        <w:rPr>
          <w:rFonts w:ascii="Garamond" w:hAnsi="Garamond" w:cs="Times New Roman"/>
          <w:w w:val="105"/>
          <w:sz w:val="20"/>
          <w:szCs w:val="20"/>
        </w:rPr>
        <w:t xml:space="preserve">, </w:t>
      </w:r>
      <w:proofErr w:type="spellStart"/>
      <w:r>
        <w:rPr>
          <w:rFonts w:ascii="Garamond" w:hAnsi="Garamond" w:cs="Times New Roman"/>
          <w:w w:val="105"/>
          <w:sz w:val="20"/>
          <w:szCs w:val="20"/>
        </w:rPr>
        <w:t>WT</w:t>
      </w:r>
      <w:proofErr w:type="spellEnd"/>
      <w:r>
        <w:rPr>
          <w:rFonts w:ascii="Garamond" w:hAnsi="Garamond" w:cs="Times New Roman"/>
          <w:w w:val="105"/>
          <w:sz w:val="20"/>
          <w:szCs w:val="20"/>
        </w:rPr>
        <w:t xml:space="preserve">/DS381/AB/R, adopted 16 June 2012, </w:t>
      </w:r>
      <w:proofErr w:type="spellStart"/>
      <w:r w:rsidRPr="00F527AB">
        <w:rPr>
          <w:rFonts w:ascii="Garamond" w:hAnsi="Garamond" w:cs="Times New Roman"/>
          <w:w w:val="105"/>
          <w:sz w:val="20"/>
          <w:szCs w:val="20"/>
        </w:rPr>
        <w:t>para</w:t>
      </w:r>
      <w:proofErr w:type="spellEnd"/>
      <w:r w:rsidRPr="00F527AB">
        <w:rPr>
          <w:rFonts w:ascii="Garamond" w:hAnsi="Garamond" w:cs="Times New Roman"/>
          <w:w w:val="105"/>
          <w:sz w:val="20"/>
          <w:szCs w:val="20"/>
        </w:rPr>
        <w:t>. 196).</w:t>
      </w:r>
      <w:proofErr w:type="gramEnd"/>
    </w:p>
  </w:footnote>
  <w:footnote w:id="14">
    <w:p w14:paraId="68E7726A" w14:textId="77777777" w:rsidR="002C574B" w:rsidRPr="00F527AB" w:rsidRDefault="002C574B" w:rsidP="00252281">
      <w:pPr>
        <w:spacing w:before="16" w:line="230" w:lineRule="exact"/>
        <w:ind w:right="101"/>
        <w:jc w:val="both"/>
        <w:rPr>
          <w:rFonts w:ascii="Garamond" w:hAnsi="Garamond" w:cs="Times New Roman"/>
          <w:sz w:val="20"/>
          <w:szCs w:val="20"/>
        </w:rPr>
      </w:pPr>
      <w:r w:rsidRPr="00F527AB">
        <w:rPr>
          <w:rStyle w:val="Refdenotaalpie"/>
          <w:rFonts w:ascii="Garamond" w:hAnsi="Garamond" w:cs="Times New Roman"/>
          <w:sz w:val="20"/>
          <w:szCs w:val="20"/>
        </w:rPr>
        <w:footnoteRef/>
      </w:r>
      <w:r w:rsidRPr="00F527AB">
        <w:rPr>
          <w:rFonts w:ascii="Garamond" w:hAnsi="Garamond" w:cs="Times New Roman"/>
          <w:sz w:val="20"/>
          <w:szCs w:val="20"/>
        </w:rPr>
        <w:t xml:space="preserve"> </w:t>
      </w:r>
      <w:r w:rsidRPr="00F527AB">
        <w:rPr>
          <w:rFonts w:ascii="Garamond" w:hAnsi="Garamond" w:cs="Times New Roman"/>
          <w:w w:val="105"/>
          <w:sz w:val="20"/>
          <w:szCs w:val="20"/>
        </w:rPr>
        <w:t>This exercise may involve considering (</w:t>
      </w:r>
      <w:proofErr w:type="spellStart"/>
      <w:r w:rsidRPr="00F527AB">
        <w:rPr>
          <w:rFonts w:ascii="Garamond" w:hAnsi="Garamond" w:cs="Times New Roman"/>
          <w:w w:val="105"/>
          <w:sz w:val="20"/>
          <w:szCs w:val="20"/>
        </w:rPr>
        <w:t>i</w:t>
      </w:r>
      <w:proofErr w:type="spellEnd"/>
      <w:r w:rsidRPr="00F527AB">
        <w:rPr>
          <w:rFonts w:ascii="Garamond" w:hAnsi="Garamond" w:cs="Times New Roman"/>
          <w:w w:val="105"/>
          <w:sz w:val="20"/>
          <w:szCs w:val="20"/>
        </w:rPr>
        <w:t>) whether the measure consists of a law or a regulation enacted by a WTO Member; (ii) whether it prescribes or prohibits particular conduct; (iii) whether it sets out specific requirements that constitute the sole means of addressing a particular matter; and (iv) the nature of the matter addressed by the</w:t>
      </w:r>
      <w:r w:rsidRPr="00F527AB">
        <w:rPr>
          <w:rFonts w:ascii="Garamond" w:hAnsi="Garamond" w:cs="Times New Roman"/>
          <w:spacing w:val="4"/>
          <w:w w:val="105"/>
          <w:sz w:val="20"/>
          <w:szCs w:val="20"/>
        </w:rPr>
        <w:t xml:space="preserve"> </w:t>
      </w:r>
      <w:r w:rsidRPr="00F527AB">
        <w:rPr>
          <w:rFonts w:ascii="Garamond" w:hAnsi="Garamond" w:cs="Times New Roman"/>
          <w:w w:val="105"/>
          <w:sz w:val="20"/>
          <w:szCs w:val="20"/>
        </w:rPr>
        <w:t>measure.</w:t>
      </w:r>
    </w:p>
  </w:footnote>
  <w:footnote w:id="15">
    <w:p w14:paraId="121D3C4E" w14:textId="18231418" w:rsidR="002C574B" w:rsidRPr="00F527AB" w:rsidRDefault="002C574B" w:rsidP="00252281">
      <w:pPr>
        <w:spacing w:line="213" w:lineRule="exact"/>
        <w:jc w:val="both"/>
        <w:rPr>
          <w:rFonts w:ascii="Garamond" w:hAnsi="Garamond" w:cs="Times New Roman"/>
          <w:sz w:val="20"/>
          <w:szCs w:val="20"/>
        </w:rPr>
      </w:pPr>
      <w:r w:rsidRPr="00F527AB">
        <w:rPr>
          <w:rStyle w:val="Refdenotaalpie"/>
          <w:rFonts w:ascii="Garamond" w:hAnsi="Garamond" w:cs="Times New Roman"/>
          <w:sz w:val="20"/>
          <w:szCs w:val="20"/>
        </w:rPr>
        <w:footnoteRef/>
      </w:r>
      <w:r w:rsidRPr="00F527AB">
        <w:rPr>
          <w:rFonts w:ascii="Garamond" w:hAnsi="Garamond" w:cs="Times New Roman"/>
          <w:sz w:val="20"/>
          <w:szCs w:val="20"/>
        </w:rPr>
        <w:t xml:space="preserve"> </w:t>
      </w:r>
      <w:r>
        <w:rPr>
          <w:rFonts w:ascii="Garamond" w:hAnsi="Garamond" w:cs="Times New Roman"/>
          <w:sz w:val="20"/>
          <w:szCs w:val="20"/>
        </w:rPr>
        <w:t xml:space="preserve">See </w:t>
      </w:r>
      <w:proofErr w:type="spellStart"/>
      <w:r w:rsidRPr="00F527AB">
        <w:rPr>
          <w:rFonts w:ascii="Garamond" w:hAnsi="Garamond" w:cs="Times New Roman"/>
          <w:w w:val="105"/>
          <w:sz w:val="20"/>
          <w:szCs w:val="20"/>
        </w:rPr>
        <w:t>ABR</w:t>
      </w:r>
      <w:proofErr w:type="spellEnd"/>
      <w:r w:rsidRPr="00F527AB">
        <w:rPr>
          <w:rFonts w:ascii="Garamond" w:hAnsi="Garamond" w:cs="Times New Roman"/>
          <w:w w:val="105"/>
          <w:sz w:val="20"/>
          <w:szCs w:val="20"/>
        </w:rPr>
        <w:t xml:space="preserve">, </w:t>
      </w:r>
      <w:r w:rsidRPr="00F527AB">
        <w:rPr>
          <w:rFonts w:ascii="Garamond" w:hAnsi="Garamond" w:cs="Times New Roman"/>
          <w:i/>
          <w:w w:val="105"/>
          <w:sz w:val="20"/>
          <w:szCs w:val="20"/>
        </w:rPr>
        <w:t>US – Tuna II</w:t>
      </w:r>
      <w:r w:rsidRPr="00F527AB">
        <w:rPr>
          <w:rFonts w:ascii="Garamond" w:hAnsi="Garamond" w:cs="Times New Roman"/>
          <w:w w:val="105"/>
          <w:sz w:val="20"/>
          <w:szCs w:val="20"/>
        </w:rPr>
        <w:t xml:space="preserve">, </w:t>
      </w:r>
      <w:r>
        <w:rPr>
          <w:rFonts w:ascii="Garamond" w:hAnsi="Garamond" w:cs="Times New Roman"/>
          <w:w w:val="105"/>
          <w:sz w:val="20"/>
          <w:szCs w:val="20"/>
        </w:rPr>
        <w:t xml:space="preserve">n 12, </w:t>
      </w:r>
      <w:proofErr w:type="spellStart"/>
      <w:r w:rsidRPr="00F527AB">
        <w:rPr>
          <w:rFonts w:ascii="Garamond" w:hAnsi="Garamond" w:cs="Times New Roman"/>
          <w:w w:val="105"/>
          <w:sz w:val="20"/>
          <w:szCs w:val="20"/>
        </w:rPr>
        <w:t>para</w:t>
      </w:r>
      <w:proofErr w:type="spellEnd"/>
      <w:r w:rsidRPr="00F527AB">
        <w:rPr>
          <w:rFonts w:ascii="Garamond" w:hAnsi="Garamond" w:cs="Times New Roman"/>
          <w:w w:val="105"/>
          <w:sz w:val="20"/>
          <w:szCs w:val="20"/>
        </w:rPr>
        <w:t xml:space="preserve">. 233. See also Panel Report, </w:t>
      </w:r>
      <w:r w:rsidRPr="00F527AB">
        <w:rPr>
          <w:rFonts w:ascii="Garamond" w:hAnsi="Garamond" w:cs="Times New Roman"/>
          <w:i/>
          <w:w w:val="105"/>
          <w:sz w:val="20"/>
          <w:szCs w:val="20"/>
        </w:rPr>
        <w:t>US – Tuna II</w:t>
      </w:r>
      <w:r w:rsidRPr="00F527AB">
        <w:rPr>
          <w:rFonts w:ascii="Garamond" w:hAnsi="Garamond" w:cs="Times New Roman"/>
          <w:w w:val="105"/>
          <w:sz w:val="20"/>
          <w:szCs w:val="20"/>
        </w:rPr>
        <w:t xml:space="preserve">, </w:t>
      </w:r>
      <w:proofErr w:type="spellStart"/>
      <w:r>
        <w:rPr>
          <w:rFonts w:ascii="Garamond" w:hAnsi="Garamond" w:cs="Times New Roman"/>
          <w:w w:val="105"/>
          <w:sz w:val="20"/>
          <w:szCs w:val="20"/>
        </w:rPr>
        <w:t>WT</w:t>
      </w:r>
      <w:proofErr w:type="spellEnd"/>
      <w:r>
        <w:rPr>
          <w:rFonts w:ascii="Garamond" w:hAnsi="Garamond" w:cs="Times New Roman"/>
          <w:w w:val="105"/>
          <w:sz w:val="20"/>
          <w:szCs w:val="20"/>
        </w:rPr>
        <w:t xml:space="preserve">/DS381/R, adopted 15 September 2011, </w:t>
      </w:r>
      <w:proofErr w:type="spellStart"/>
      <w:r w:rsidRPr="00F527AB">
        <w:rPr>
          <w:rFonts w:ascii="Garamond" w:hAnsi="Garamond" w:cs="Times New Roman"/>
          <w:w w:val="105"/>
          <w:sz w:val="20"/>
          <w:szCs w:val="20"/>
        </w:rPr>
        <w:t>para</w:t>
      </w:r>
      <w:proofErr w:type="spellEnd"/>
      <w:r w:rsidRPr="00F527AB">
        <w:rPr>
          <w:rFonts w:ascii="Garamond" w:hAnsi="Garamond" w:cs="Times New Roman"/>
          <w:w w:val="105"/>
          <w:sz w:val="20"/>
          <w:szCs w:val="20"/>
        </w:rPr>
        <w:t>. 7.289</w:t>
      </w:r>
    </w:p>
  </w:footnote>
  <w:footnote w:id="16">
    <w:p w14:paraId="069F301D" w14:textId="62012CBA" w:rsidR="002C574B" w:rsidRPr="00F527AB" w:rsidRDefault="002C574B" w:rsidP="00252281">
      <w:pPr>
        <w:pStyle w:val="Textonotapie"/>
        <w:jc w:val="both"/>
        <w:rPr>
          <w:rFonts w:ascii="Garamond" w:hAnsi="Garamond" w:cs="Times New Roman"/>
          <w:sz w:val="20"/>
          <w:szCs w:val="20"/>
          <w:lang w:val="es-ES_tradnl"/>
        </w:rPr>
      </w:pPr>
      <w:r w:rsidRPr="00F527AB">
        <w:rPr>
          <w:rStyle w:val="Refdenotaalpie"/>
          <w:rFonts w:ascii="Garamond" w:hAnsi="Garamond" w:cs="Times New Roman"/>
          <w:sz w:val="20"/>
          <w:szCs w:val="20"/>
        </w:rPr>
        <w:footnoteRef/>
      </w:r>
      <w:r w:rsidRPr="00F527AB">
        <w:rPr>
          <w:rFonts w:ascii="Garamond" w:hAnsi="Garamond" w:cs="Times New Roman"/>
          <w:sz w:val="20"/>
          <w:szCs w:val="20"/>
        </w:rPr>
        <w:t xml:space="preserve"> </w:t>
      </w:r>
      <w:r>
        <w:rPr>
          <w:rFonts w:ascii="Garamond" w:hAnsi="Garamond" w:cs="Times New Roman"/>
          <w:sz w:val="20"/>
          <w:szCs w:val="20"/>
        </w:rPr>
        <w:t xml:space="preserve">See </w:t>
      </w:r>
      <w:r w:rsidRPr="00F527AB">
        <w:rPr>
          <w:rFonts w:ascii="Garamond" w:hAnsi="Garamond" w:cs="Times New Roman"/>
          <w:w w:val="105"/>
          <w:sz w:val="20"/>
          <w:szCs w:val="20"/>
        </w:rPr>
        <w:t xml:space="preserve">Panel Report, </w:t>
      </w:r>
      <w:r w:rsidRPr="00F527AB">
        <w:rPr>
          <w:rFonts w:ascii="Garamond" w:hAnsi="Garamond" w:cs="Times New Roman"/>
          <w:i/>
          <w:w w:val="105"/>
          <w:sz w:val="20"/>
          <w:szCs w:val="20"/>
        </w:rPr>
        <w:t>US – Tuna II</w:t>
      </w:r>
      <w:r w:rsidRPr="00F527AB">
        <w:rPr>
          <w:rFonts w:ascii="Garamond" w:hAnsi="Garamond" w:cs="Times New Roman"/>
          <w:w w:val="105"/>
          <w:sz w:val="20"/>
          <w:szCs w:val="20"/>
        </w:rPr>
        <w:t>,</w:t>
      </w:r>
      <w:r>
        <w:rPr>
          <w:rFonts w:ascii="Garamond" w:hAnsi="Garamond" w:cs="Times New Roman"/>
          <w:w w:val="105"/>
          <w:sz w:val="20"/>
          <w:szCs w:val="20"/>
        </w:rPr>
        <w:t xml:space="preserve"> n 15,</w:t>
      </w:r>
      <w:r w:rsidRPr="00F527AB">
        <w:rPr>
          <w:rFonts w:ascii="Garamond" w:hAnsi="Garamond" w:cs="Times New Roman"/>
          <w:w w:val="105"/>
          <w:sz w:val="20"/>
          <w:szCs w:val="20"/>
        </w:rPr>
        <w:t xml:space="preserve"> </w:t>
      </w:r>
      <w:proofErr w:type="spellStart"/>
      <w:r w:rsidRPr="00F527AB">
        <w:rPr>
          <w:rFonts w:ascii="Garamond" w:hAnsi="Garamond" w:cs="Times New Roman"/>
          <w:w w:val="105"/>
          <w:sz w:val="20"/>
          <w:szCs w:val="20"/>
        </w:rPr>
        <w:t>paras</w:t>
      </w:r>
      <w:proofErr w:type="spellEnd"/>
      <w:r w:rsidRPr="00F527AB">
        <w:rPr>
          <w:rFonts w:ascii="Garamond" w:hAnsi="Garamond" w:cs="Times New Roman"/>
          <w:w w:val="105"/>
          <w:sz w:val="20"/>
          <w:szCs w:val="20"/>
        </w:rPr>
        <w:t>. 7.108-7.111.</w:t>
      </w:r>
    </w:p>
  </w:footnote>
  <w:footnote w:id="17">
    <w:p w14:paraId="24058FB8" w14:textId="6F4EEFD5" w:rsidR="002C574B" w:rsidRPr="00F527AB" w:rsidRDefault="002C574B" w:rsidP="00252281">
      <w:pPr>
        <w:pStyle w:val="Textonotapie"/>
        <w:jc w:val="both"/>
        <w:rPr>
          <w:rFonts w:ascii="Garamond" w:hAnsi="Garamond" w:cs="Times New Roman"/>
          <w:sz w:val="20"/>
          <w:szCs w:val="20"/>
          <w:lang w:val="es-ES_tradnl"/>
        </w:rPr>
      </w:pPr>
      <w:r w:rsidRPr="00F527AB">
        <w:rPr>
          <w:rStyle w:val="Refdenotaalpie"/>
          <w:rFonts w:ascii="Garamond" w:hAnsi="Garamond" w:cs="Times New Roman"/>
          <w:sz w:val="20"/>
          <w:szCs w:val="20"/>
        </w:rPr>
        <w:footnoteRef/>
      </w:r>
      <w:r w:rsidRPr="00F527AB">
        <w:rPr>
          <w:rFonts w:ascii="Garamond" w:hAnsi="Garamond" w:cs="Times New Roman"/>
          <w:sz w:val="20"/>
          <w:szCs w:val="20"/>
        </w:rPr>
        <w:t xml:space="preserve"> </w:t>
      </w:r>
      <w:proofErr w:type="gramStart"/>
      <w:r w:rsidRPr="00256ACC">
        <w:rPr>
          <w:rFonts w:ascii="Garamond" w:hAnsi="Garamond" w:cs="Times New Roman"/>
          <w:i/>
          <w:w w:val="105"/>
          <w:sz w:val="20"/>
          <w:szCs w:val="20"/>
        </w:rPr>
        <w:t>Ibid</w:t>
      </w:r>
      <w:r w:rsidRPr="00F527AB">
        <w:rPr>
          <w:rFonts w:ascii="Garamond" w:hAnsi="Garamond" w:cs="Times New Roman"/>
          <w:w w:val="105"/>
          <w:sz w:val="20"/>
          <w:szCs w:val="20"/>
        </w:rPr>
        <w:t xml:space="preserve">, </w:t>
      </w:r>
      <w:r>
        <w:rPr>
          <w:rFonts w:ascii="Garamond" w:hAnsi="Garamond" w:cs="Times New Roman"/>
          <w:w w:val="105"/>
          <w:sz w:val="20"/>
          <w:szCs w:val="20"/>
        </w:rPr>
        <w:t xml:space="preserve">n 15, </w:t>
      </w:r>
      <w:proofErr w:type="spellStart"/>
      <w:r w:rsidRPr="00F527AB">
        <w:rPr>
          <w:rFonts w:ascii="Garamond" w:hAnsi="Garamond" w:cs="Times New Roman"/>
          <w:w w:val="105"/>
          <w:sz w:val="20"/>
          <w:szCs w:val="20"/>
        </w:rPr>
        <w:t>paras</w:t>
      </w:r>
      <w:proofErr w:type="spellEnd"/>
      <w:r w:rsidRPr="00F527AB">
        <w:rPr>
          <w:rFonts w:ascii="Garamond" w:hAnsi="Garamond" w:cs="Times New Roman"/>
          <w:w w:val="105"/>
          <w:sz w:val="20"/>
          <w:szCs w:val="20"/>
        </w:rPr>
        <w:t>.</w:t>
      </w:r>
      <w:proofErr w:type="gramEnd"/>
      <w:r w:rsidRPr="00F527AB">
        <w:rPr>
          <w:rFonts w:ascii="Garamond" w:hAnsi="Garamond" w:cs="Times New Roman"/>
          <w:w w:val="105"/>
          <w:sz w:val="20"/>
          <w:szCs w:val="20"/>
        </w:rPr>
        <w:t xml:space="preserve"> 7.150-7.151</w:t>
      </w:r>
    </w:p>
  </w:footnote>
  <w:footnote w:id="18">
    <w:p w14:paraId="04674EC1" w14:textId="4253B3F1" w:rsidR="002C574B" w:rsidRPr="00F527AB" w:rsidRDefault="002C574B" w:rsidP="00252281">
      <w:pPr>
        <w:pStyle w:val="Textonotapie"/>
        <w:jc w:val="both"/>
        <w:rPr>
          <w:rFonts w:ascii="Garamond" w:hAnsi="Garamond" w:cs="Times New Roman"/>
          <w:sz w:val="20"/>
          <w:szCs w:val="20"/>
          <w:lang w:val="es-ES_tradnl"/>
        </w:rPr>
      </w:pPr>
      <w:r w:rsidRPr="00F527AB">
        <w:rPr>
          <w:rStyle w:val="Refdenotaalpie"/>
          <w:rFonts w:ascii="Garamond" w:hAnsi="Garamond" w:cs="Times New Roman"/>
          <w:sz w:val="20"/>
          <w:szCs w:val="20"/>
        </w:rPr>
        <w:footnoteRef/>
      </w:r>
      <w:r w:rsidRPr="00F527AB">
        <w:rPr>
          <w:rFonts w:ascii="Garamond" w:hAnsi="Garamond" w:cs="Times New Roman"/>
          <w:sz w:val="20"/>
          <w:szCs w:val="20"/>
        </w:rPr>
        <w:t xml:space="preserve"> </w:t>
      </w:r>
      <w:proofErr w:type="gramStart"/>
      <w:r w:rsidRPr="00256ACC">
        <w:rPr>
          <w:rFonts w:ascii="Garamond" w:hAnsi="Garamond" w:cs="Times New Roman"/>
          <w:i/>
          <w:w w:val="105"/>
          <w:sz w:val="20"/>
          <w:szCs w:val="20"/>
        </w:rPr>
        <w:t>Ibid</w:t>
      </w:r>
      <w:r w:rsidRPr="00F527AB">
        <w:rPr>
          <w:rFonts w:ascii="Garamond" w:hAnsi="Garamond" w:cs="Times New Roman"/>
          <w:w w:val="105"/>
          <w:sz w:val="20"/>
          <w:szCs w:val="20"/>
        </w:rPr>
        <w:t xml:space="preserve">, </w:t>
      </w:r>
      <w:r>
        <w:rPr>
          <w:rFonts w:ascii="Garamond" w:hAnsi="Garamond" w:cs="Times New Roman"/>
          <w:w w:val="105"/>
          <w:sz w:val="20"/>
          <w:szCs w:val="20"/>
        </w:rPr>
        <w:t xml:space="preserve">n 15, </w:t>
      </w:r>
      <w:proofErr w:type="spellStart"/>
      <w:r w:rsidRPr="00F527AB">
        <w:rPr>
          <w:rFonts w:ascii="Garamond" w:hAnsi="Garamond" w:cs="Times New Roman"/>
          <w:w w:val="105"/>
          <w:sz w:val="20"/>
          <w:szCs w:val="20"/>
        </w:rPr>
        <w:t>para</w:t>
      </w:r>
      <w:proofErr w:type="spellEnd"/>
      <w:r w:rsidRPr="00F527AB">
        <w:rPr>
          <w:rFonts w:ascii="Garamond" w:hAnsi="Garamond" w:cs="Times New Roman"/>
          <w:w w:val="105"/>
          <w:sz w:val="20"/>
          <w:szCs w:val="20"/>
        </w:rPr>
        <w:t xml:space="preserve"> 7.94.</w:t>
      </w:r>
      <w:proofErr w:type="gramEnd"/>
    </w:p>
  </w:footnote>
  <w:footnote w:id="19">
    <w:p w14:paraId="0A44EB7A" w14:textId="61D89960" w:rsidR="002C574B" w:rsidRPr="00F527AB" w:rsidRDefault="002C574B" w:rsidP="00252281">
      <w:pPr>
        <w:spacing w:line="241" w:lineRule="exact"/>
        <w:jc w:val="both"/>
        <w:rPr>
          <w:rFonts w:ascii="Garamond" w:hAnsi="Garamond" w:cs="Times New Roman"/>
          <w:sz w:val="20"/>
          <w:szCs w:val="20"/>
        </w:rPr>
      </w:pPr>
      <w:r w:rsidRPr="00F527AB">
        <w:rPr>
          <w:rStyle w:val="Refdenotaalpie"/>
          <w:rFonts w:ascii="Garamond" w:hAnsi="Garamond" w:cs="Times New Roman"/>
          <w:sz w:val="20"/>
          <w:szCs w:val="20"/>
        </w:rPr>
        <w:footnoteRef/>
      </w:r>
      <w:r w:rsidRPr="00F527AB">
        <w:rPr>
          <w:rFonts w:ascii="Garamond" w:hAnsi="Garamond" w:cs="Times New Roman"/>
          <w:sz w:val="20"/>
          <w:szCs w:val="20"/>
        </w:rPr>
        <w:t xml:space="preserve"> </w:t>
      </w:r>
      <w:r>
        <w:rPr>
          <w:rFonts w:ascii="Garamond" w:hAnsi="Garamond" w:cs="Times New Roman"/>
          <w:sz w:val="20"/>
          <w:szCs w:val="20"/>
        </w:rPr>
        <w:t xml:space="preserve">See </w:t>
      </w:r>
      <w:proofErr w:type="spellStart"/>
      <w:r w:rsidRPr="00F527AB">
        <w:rPr>
          <w:rFonts w:ascii="Garamond" w:hAnsi="Garamond" w:cs="Times New Roman"/>
          <w:w w:val="105"/>
          <w:sz w:val="20"/>
          <w:szCs w:val="20"/>
        </w:rPr>
        <w:t>ABR</w:t>
      </w:r>
      <w:proofErr w:type="spellEnd"/>
      <w:r w:rsidRPr="00F527AB">
        <w:rPr>
          <w:rFonts w:ascii="Garamond" w:hAnsi="Garamond" w:cs="Times New Roman"/>
          <w:w w:val="105"/>
          <w:sz w:val="20"/>
          <w:szCs w:val="20"/>
        </w:rPr>
        <w:t xml:space="preserve">, </w:t>
      </w:r>
      <w:r w:rsidRPr="00F527AB">
        <w:rPr>
          <w:rFonts w:ascii="Garamond" w:hAnsi="Garamond" w:cs="Times New Roman"/>
          <w:i/>
          <w:w w:val="105"/>
          <w:sz w:val="20"/>
          <w:szCs w:val="20"/>
        </w:rPr>
        <w:t>EC – Sardines</w:t>
      </w:r>
      <w:r w:rsidRPr="00F527AB">
        <w:rPr>
          <w:rFonts w:ascii="Garamond" w:hAnsi="Garamond" w:cs="Times New Roman"/>
          <w:w w:val="105"/>
          <w:sz w:val="20"/>
          <w:szCs w:val="20"/>
        </w:rPr>
        <w:t xml:space="preserve">, </w:t>
      </w:r>
      <w:r>
        <w:rPr>
          <w:rFonts w:ascii="Garamond" w:hAnsi="Garamond" w:cs="Times New Roman"/>
          <w:w w:val="105"/>
          <w:sz w:val="20"/>
          <w:szCs w:val="20"/>
        </w:rPr>
        <w:t xml:space="preserve">n 4, </w:t>
      </w:r>
      <w:proofErr w:type="spellStart"/>
      <w:r w:rsidRPr="00F527AB">
        <w:rPr>
          <w:rFonts w:ascii="Garamond" w:hAnsi="Garamond" w:cs="Times New Roman"/>
          <w:w w:val="105"/>
          <w:sz w:val="20"/>
          <w:szCs w:val="20"/>
        </w:rPr>
        <w:t>para</w:t>
      </w:r>
      <w:proofErr w:type="spellEnd"/>
      <w:r w:rsidRPr="00F527AB">
        <w:rPr>
          <w:rFonts w:ascii="Garamond" w:hAnsi="Garamond" w:cs="Times New Roman"/>
          <w:w w:val="105"/>
          <w:sz w:val="20"/>
          <w:szCs w:val="20"/>
        </w:rPr>
        <w:t xml:space="preserve">. 194. See also Panel Report, </w:t>
      </w:r>
      <w:r w:rsidRPr="00F527AB">
        <w:rPr>
          <w:rFonts w:ascii="Garamond" w:hAnsi="Garamond" w:cs="Times New Roman"/>
          <w:i/>
          <w:w w:val="105"/>
          <w:sz w:val="20"/>
          <w:szCs w:val="20"/>
        </w:rPr>
        <w:t>EC – Sardines</w:t>
      </w:r>
      <w:r w:rsidRPr="00F527AB">
        <w:rPr>
          <w:rFonts w:ascii="Garamond" w:hAnsi="Garamond" w:cs="Times New Roman"/>
          <w:w w:val="105"/>
          <w:sz w:val="20"/>
          <w:szCs w:val="20"/>
        </w:rPr>
        <w:t>,</w:t>
      </w:r>
      <w:r>
        <w:rPr>
          <w:rFonts w:ascii="Garamond" w:hAnsi="Garamond" w:cs="Times New Roman"/>
          <w:w w:val="105"/>
          <w:sz w:val="20"/>
          <w:szCs w:val="20"/>
        </w:rPr>
        <w:t xml:space="preserve"> </w:t>
      </w:r>
      <w:proofErr w:type="spellStart"/>
      <w:r>
        <w:rPr>
          <w:rFonts w:ascii="Garamond" w:hAnsi="Garamond" w:cs="Times New Roman"/>
          <w:w w:val="105"/>
          <w:sz w:val="20"/>
          <w:szCs w:val="20"/>
        </w:rPr>
        <w:t>WT</w:t>
      </w:r>
      <w:proofErr w:type="spellEnd"/>
      <w:r>
        <w:rPr>
          <w:rFonts w:ascii="Garamond" w:hAnsi="Garamond" w:cs="Times New Roman"/>
          <w:w w:val="105"/>
          <w:sz w:val="20"/>
          <w:szCs w:val="20"/>
        </w:rPr>
        <w:t xml:space="preserve">/DS231/R, adopted 29 May 2002, as amended </w:t>
      </w:r>
      <w:proofErr w:type="spellStart"/>
      <w:r>
        <w:rPr>
          <w:rFonts w:ascii="Garamond" w:hAnsi="Garamond" w:cs="Times New Roman"/>
          <w:w w:val="105"/>
          <w:sz w:val="20"/>
          <w:szCs w:val="20"/>
        </w:rPr>
        <w:t>WT</w:t>
      </w:r>
      <w:proofErr w:type="spellEnd"/>
      <w:r>
        <w:rPr>
          <w:rFonts w:ascii="Garamond" w:hAnsi="Garamond" w:cs="Times New Roman"/>
          <w:w w:val="105"/>
          <w:sz w:val="20"/>
          <w:szCs w:val="20"/>
        </w:rPr>
        <w:t>/DS231/Corr.1, adopted 10 June 2002,</w:t>
      </w:r>
      <w:r w:rsidRPr="00F527AB">
        <w:rPr>
          <w:rFonts w:ascii="Garamond" w:hAnsi="Garamond" w:cs="Times New Roman"/>
          <w:w w:val="105"/>
          <w:sz w:val="20"/>
          <w:szCs w:val="20"/>
        </w:rPr>
        <w:t xml:space="preserve"> </w:t>
      </w:r>
      <w:proofErr w:type="spellStart"/>
      <w:r w:rsidRPr="00F527AB">
        <w:rPr>
          <w:rFonts w:ascii="Garamond" w:hAnsi="Garamond" w:cs="Times New Roman"/>
          <w:w w:val="105"/>
          <w:sz w:val="20"/>
          <w:szCs w:val="20"/>
        </w:rPr>
        <w:t>para</w:t>
      </w:r>
      <w:proofErr w:type="spellEnd"/>
      <w:r w:rsidRPr="00F527AB">
        <w:rPr>
          <w:rFonts w:ascii="Garamond" w:hAnsi="Garamond" w:cs="Times New Roman"/>
          <w:w w:val="105"/>
          <w:sz w:val="20"/>
          <w:szCs w:val="20"/>
        </w:rPr>
        <w:t>. 7.30</w:t>
      </w:r>
    </w:p>
  </w:footnote>
  <w:footnote w:id="20">
    <w:p w14:paraId="110A64FD" w14:textId="4D80E1AC" w:rsidR="002C574B" w:rsidRPr="00F527AB" w:rsidRDefault="002C574B" w:rsidP="00252281">
      <w:pPr>
        <w:pStyle w:val="Textonotapie"/>
        <w:jc w:val="both"/>
        <w:rPr>
          <w:rFonts w:ascii="Garamond" w:hAnsi="Garamond" w:cs="Times New Roman"/>
          <w:sz w:val="20"/>
          <w:szCs w:val="20"/>
          <w:lang w:val="es-ES_tradnl"/>
        </w:rPr>
      </w:pPr>
      <w:r w:rsidRPr="00F527AB">
        <w:rPr>
          <w:rStyle w:val="Refdenotaalpie"/>
          <w:rFonts w:ascii="Garamond" w:hAnsi="Garamond" w:cs="Times New Roman"/>
          <w:sz w:val="20"/>
          <w:szCs w:val="20"/>
        </w:rPr>
        <w:footnoteRef/>
      </w:r>
      <w:r w:rsidRPr="00F527AB">
        <w:rPr>
          <w:rFonts w:ascii="Garamond" w:hAnsi="Garamond" w:cs="Times New Roman"/>
          <w:sz w:val="20"/>
          <w:szCs w:val="20"/>
        </w:rPr>
        <w:t xml:space="preserve"> </w:t>
      </w:r>
      <w:r>
        <w:rPr>
          <w:rFonts w:ascii="Garamond" w:hAnsi="Garamond" w:cs="Times New Roman"/>
          <w:sz w:val="20"/>
          <w:szCs w:val="20"/>
        </w:rPr>
        <w:t xml:space="preserve">See </w:t>
      </w:r>
      <w:proofErr w:type="spellStart"/>
      <w:r w:rsidRPr="00F527AB">
        <w:rPr>
          <w:rFonts w:ascii="Garamond" w:hAnsi="Garamond" w:cs="Times New Roman"/>
          <w:w w:val="105"/>
          <w:sz w:val="20"/>
          <w:szCs w:val="20"/>
        </w:rPr>
        <w:t>Lorand</w:t>
      </w:r>
      <w:proofErr w:type="spellEnd"/>
      <w:r w:rsidRPr="00F527AB">
        <w:rPr>
          <w:rFonts w:ascii="Garamond" w:hAnsi="Garamond" w:cs="Times New Roman"/>
          <w:w w:val="105"/>
          <w:sz w:val="20"/>
          <w:szCs w:val="20"/>
        </w:rPr>
        <w:t xml:space="preserve"> Bartels “</w:t>
      </w:r>
      <w:r w:rsidRPr="00F527AB">
        <w:rPr>
          <w:rFonts w:ascii="Garamond" w:hAnsi="Garamond" w:cs="Times New Roman"/>
          <w:i/>
          <w:w w:val="105"/>
          <w:sz w:val="20"/>
          <w:szCs w:val="20"/>
        </w:rPr>
        <w:t>there is an argument to be made that EC - Sardines called it wrong, and that the measure there at issue was actually a standard</w:t>
      </w:r>
      <w:r w:rsidRPr="00F527AB">
        <w:rPr>
          <w:rFonts w:ascii="Garamond" w:hAnsi="Garamond" w:cs="Times New Roman"/>
          <w:w w:val="105"/>
          <w:sz w:val="20"/>
          <w:szCs w:val="20"/>
        </w:rPr>
        <w:t xml:space="preserve">” Entry on the 23rd September (2011) in response to the debate “Technical Regulations vs. Standards in the Tuna Panel Report” See: </w:t>
      </w:r>
      <w:r w:rsidRPr="00F527AB">
        <w:rPr>
          <w:rFonts w:ascii="Garamond" w:hAnsi="Garamond" w:cs="Times New Roman"/>
          <w:w w:val="105"/>
          <w:sz w:val="20"/>
          <w:szCs w:val="20"/>
          <w:u w:val="single"/>
        </w:rPr>
        <w:t>https://worldtradelaw.typepad.com/ielpblog/2011/09/technical-regulations-vs-standards-in-the-tuna-</w:t>
      </w:r>
      <w:r w:rsidRPr="00F527AB">
        <w:rPr>
          <w:rFonts w:ascii="Garamond" w:hAnsi="Garamond" w:cs="Times New Roman"/>
          <w:w w:val="105"/>
          <w:sz w:val="20"/>
          <w:szCs w:val="20"/>
        </w:rPr>
        <w:t xml:space="preserve"> </w:t>
      </w:r>
      <w:r w:rsidRPr="00F527AB">
        <w:rPr>
          <w:rFonts w:ascii="Garamond" w:hAnsi="Garamond" w:cs="Times New Roman"/>
          <w:w w:val="105"/>
          <w:sz w:val="20"/>
          <w:szCs w:val="20"/>
          <w:u w:val="single"/>
        </w:rPr>
        <w:t>panel-</w:t>
      </w:r>
      <w:proofErr w:type="spellStart"/>
      <w:r w:rsidRPr="00F527AB">
        <w:rPr>
          <w:rFonts w:ascii="Garamond" w:hAnsi="Garamond" w:cs="Times New Roman"/>
          <w:w w:val="105"/>
          <w:sz w:val="20"/>
          <w:szCs w:val="20"/>
          <w:u w:val="single"/>
        </w:rPr>
        <w:t>report.html</w:t>
      </w:r>
      <w:proofErr w:type="spellEnd"/>
      <w:r w:rsidRPr="00F527AB">
        <w:rPr>
          <w:rFonts w:ascii="Garamond" w:hAnsi="Garamond" w:cs="Times New Roman"/>
          <w:w w:val="105"/>
          <w:sz w:val="20"/>
          <w:szCs w:val="20"/>
        </w:rPr>
        <w:t xml:space="preserve"> accessed February 8, 2019.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3816"/>
    <w:multiLevelType w:val="multilevel"/>
    <w:tmpl w:val="F488CE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4D53BFB"/>
    <w:multiLevelType w:val="multilevel"/>
    <w:tmpl w:val="F488CE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AB"/>
    <w:rsid w:val="0001680B"/>
    <w:rsid w:val="00046131"/>
    <w:rsid w:val="00046AB5"/>
    <w:rsid w:val="000B377E"/>
    <w:rsid w:val="001E566E"/>
    <w:rsid w:val="001F5A49"/>
    <w:rsid w:val="0023305F"/>
    <w:rsid w:val="00252281"/>
    <w:rsid w:val="00256ACC"/>
    <w:rsid w:val="002C574B"/>
    <w:rsid w:val="00344C55"/>
    <w:rsid w:val="0051181C"/>
    <w:rsid w:val="00527EC6"/>
    <w:rsid w:val="00754EBA"/>
    <w:rsid w:val="00821E16"/>
    <w:rsid w:val="00850C0A"/>
    <w:rsid w:val="00854772"/>
    <w:rsid w:val="00951378"/>
    <w:rsid w:val="009C6421"/>
    <w:rsid w:val="009D2F62"/>
    <w:rsid w:val="00A53534"/>
    <w:rsid w:val="00AF22CE"/>
    <w:rsid w:val="00BD32A7"/>
    <w:rsid w:val="00C5084A"/>
    <w:rsid w:val="00C8239D"/>
    <w:rsid w:val="00CF0D06"/>
    <w:rsid w:val="00D06F84"/>
    <w:rsid w:val="00D71B2D"/>
    <w:rsid w:val="00E71D1C"/>
    <w:rsid w:val="00F43ED3"/>
    <w:rsid w:val="00F527AB"/>
    <w:rsid w:val="00F560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EF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55"/>
    <w:pPr>
      <w:spacing w:line="360" w:lineRule="auto"/>
    </w:pPr>
    <w:rPr>
      <w:rFonts w:ascii="Times New Roman" w:hAnsi="Times New Roman"/>
      <w:lang w:val="en-GB"/>
    </w:rPr>
  </w:style>
  <w:style w:type="paragraph" w:styleId="Ttulo1">
    <w:name w:val="heading 1"/>
    <w:basedOn w:val="Normal"/>
    <w:next w:val="Normal"/>
    <w:link w:val="Ttulo1Car"/>
    <w:autoRedefine/>
    <w:uiPriority w:val="9"/>
    <w:qFormat/>
    <w:rsid w:val="00D71B2D"/>
    <w:pPr>
      <w:keepNext/>
      <w:keepLines/>
      <w:spacing w:before="225" w:after="375"/>
      <w:outlineLvl w:val="0"/>
    </w:pPr>
    <w:rPr>
      <w:rFonts w:ascii="Garamond" w:eastAsiaTheme="majorEastAsia" w:hAnsi="Garamond" w:cs="Helvetica Neue"/>
      <w:b/>
      <w:bCs/>
    </w:rPr>
  </w:style>
  <w:style w:type="paragraph" w:styleId="Ttulo2">
    <w:name w:val="heading 2"/>
    <w:basedOn w:val="Normal"/>
    <w:next w:val="Normal"/>
    <w:link w:val="Ttulo2Car"/>
    <w:autoRedefine/>
    <w:uiPriority w:val="9"/>
    <w:unhideWhenUsed/>
    <w:qFormat/>
    <w:rsid w:val="00344C55"/>
    <w:pPr>
      <w:keepNext/>
      <w:keepLines/>
      <w:spacing w:before="200"/>
      <w:outlineLvl w:val="1"/>
    </w:pPr>
    <w:rPr>
      <w:rFonts w:eastAsiaTheme="majorEastAsia" w:cstheme="majorBidi"/>
      <w:b/>
      <w:bCs/>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Bloque">
    <w:name w:val="Título Bloque"/>
    <w:basedOn w:val="Normal"/>
    <w:autoRedefine/>
    <w:qFormat/>
    <w:rsid w:val="00344C55"/>
    <w:rPr>
      <w:rFonts w:eastAsia="AppleMyungjo" w:cs="Times New Roman"/>
      <w:b/>
      <w:bCs/>
      <w:caps/>
    </w:rPr>
  </w:style>
  <w:style w:type="paragraph" w:customStyle="1" w:styleId="Ttuloapartado">
    <w:name w:val="Título apartado"/>
    <w:basedOn w:val="Normal"/>
    <w:qFormat/>
    <w:rsid w:val="00046131"/>
    <w:rPr>
      <w:rFonts w:eastAsia="AppleMyungjo" w:cs="Times New Roman"/>
      <w:b/>
      <w:sz w:val="22"/>
      <w:szCs w:val="22"/>
    </w:rPr>
  </w:style>
  <w:style w:type="character" w:customStyle="1" w:styleId="Ttulo1Car">
    <w:name w:val="Título 1 Car"/>
    <w:basedOn w:val="Fuentedeprrafopredeter"/>
    <w:link w:val="Ttulo1"/>
    <w:uiPriority w:val="9"/>
    <w:rsid w:val="00D71B2D"/>
    <w:rPr>
      <w:rFonts w:ascii="Garamond" w:eastAsiaTheme="majorEastAsia" w:hAnsi="Garamond" w:cs="Helvetica Neue"/>
      <w:b/>
      <w:bCs/>
      <w:lang w:val="en-GB"/>
    </w:rPr>
  </w:style>
  <w:style w:type="paragraph" w:styleId="Encabezadodetabladecontenido">
    <w:name w:val="TOC Heading"/>
    <w:basedOn w:val="Ttulo1"/>
    <w:next w:val="Normal"/>
    <w:autoRedefine/>
    <w:uiPriority w:val="39"/>
    <w:unhideWhenUsed/>
    <w:qFormat/>
    <w:rsid w:val="00046AB5"/>
    <w:pPr>
      <w:spacing w:line="276" w:lineRule="auto"/>
      <w:outlineLvl w:val="9"/>
    </w:pPr>
    <w:rPr>
      <w:szCs w:val="28"/>
    </w:rPr>
  </w:style>
  <w:style w:type="character" w:customStyle="1" w:styleId="Ttulo2Car">
    <w:name w:val="Título 2 Car"/>
    <w:basedOn w:val="Fuentedeprrafopredeter"/>
    <w:link w:val="Ttulo2"/>
    <w:uiPriority w:val="9"/>
    <w:rsid w:val="00344C55"/>
    <w:rPr>
      <w:rFonts w:ascii="Times New Roman" w:eastAsiaTheme="majorEastAsia" w:hAnsi="Times New Roman" w:cstheme="majorBidi"/>
      <w:b/>
      <w:bCs/>
      <w:sz w:val="28"/>
      <w:szCs w:val="26"/>
    </w:rPr>
  </w:style>
  <w:style w:type="paragraph" w:styleId="Textonotapie">
    <w:name w:val="footnote text"/>
    <w:basedOn w:val="Normal"/>
    <w:link w:val="TextonotapieCar"/>
    <w:uiPriority w:val="99"/>
    <w:unhideWhenUsed/>
    <w:rsid w:val="00F527AB"/>
    <w:pPr>
      <w:spacing w:line="240" w:lineRule="auto"/>
    </w:pPr>
  </w:style>
  <w:style w:type="character" w:customStyle="1" w:styleId="TextonotapieCar">
    <w:name w:val="Texto nota pie Car"/>
    <w:basedOn w:val="Fuentedeprrafopredeter"/>
    <w:link w:val="Textonotapie"/>
    <w:uiPriority w:val="99"/>
    <w:rsid w:val="00F527AB"/>
    <w:rPr>
      <w:rFonts w:ascii="Times New Roman" w:hAnsi="Times New Roman"/>
      <w:lang w:val="en-GB"/>
    </w:rPr>
  </w:style>
  <w:style w:type="character" w:styleId="Refdenotaalpie">
    <w:name w:val="footnote reference"/>
    <w:basedOn w:val="Fuentedeprrafopredeter"/>
    <w:uiPriority w:val="99"/>
    <w:unhideWhenUsed/>
    <w:rsid w:val="00F527AB"/>
    <w:rPr>
      <w:vertAlign w:val="superscript"/>
    </w:rPr>
  </w:style>
  <w:style w:type="paragraph" w:styleId="Prrafodelista">
    <w:name w:val="List Paragraph"/>
    <w:basedOn w:val="Normal"/>
    <w:uiPriority w:val="34"/>
    <w:qFormat/>
    <w:rsid w:val="00F527AB"/>
    <w:pPr>
      <w:ind w:left="720"/>
      <w:contextualSpacing/>
    </w:pPr>
  </w:style>
  <w:style w:type="table" w:styleId="Tablaconcuadrcula">
    <w:name w:val="Table Grid"/>
    <w:basedOn w:val="Tablanormal"/>
    <w:uiPriority w:val="59"/>
    <w:rsid w:val="009C6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C57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55"/>
    <w:pPr>
      <w:spacing w:line="360" w:lineRule="auto"/>
    </w:pPr>
    <w:rPr>
      <w:rFonts w:ascii="Times New Roman" w:hAnsi="Times New Roman"/>
      <w:lang w:val="en-GB"/>
    </w:rPr>
  </w:style>
  <w:style w:type="paragraph" w:styleId="Ttulo1">
    <w:name w:val="heading 1"/>
    <w:basedOn w:val="Normal"/>
    <w:next w:val="Normal"/>
    <w:link w:val="Ttulo1Car"/>
    <w:autoRedefine/>
    <w:uiPriority w:val="9"/>
    <w:qFormat/>
    <w:rsid w:val="00D71B2D"/>
    <w:pPr>
      <w:keepNext/>
      <w:keepLines/>
      <w:spacing w:before="225" w:after="375"/>
      <w:outlineLvl w:val="0"/>
    </w:pPr>
    <w:rPr>
      <w:rFonts w:ascii="Garamond" w:eastAsiaTheme="majorEastAsia" w:hAnsi="Garamond" w:cs="Helvetica Neue"/>
      <w:b/>
      <w:bCs/>
    </w:rPr>
  </w:style>
  <w:style w:type="paragraph" w:styleId="Ttulo2">
    <w:name w:val="heading 2"/>
    <w:basedOn w:val="Normal"/>
    <w:next w:val="Normal"/>
    <w:link w:val="Ttulo2Car"/>
    <w:autoRedefine/>
    <w:uiPriority w:val="9"/>
    <w:unhideWhenUsed/>
    <w:qFormat/>
    <w:rsid w:val="00344C55"/>
    <w:pPr>
      <w:keepNext/>
      <w:keepLines/>
      <w:spacing w:before="200"/>
      <w:outlineLvl w:val="1"/>
    </w:pPr>
    <w:rPr>
      <w:rFonts w:eastAsiaTheme="majorEastAsia" w:cstheme="majorBidi"/>
      <w:b/>
      <w:bCs/>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Bloque">
    <w:name w:val="Título Bloque"/>
    <w:basedOn w:val="Normal"/>
    <w:autoRedefine/>
    <w:qFormat/>
    <w:rsid w:val="00344C55"/>
    <w:rPr>
      <w:rFonts w:eastAsia="AppleMyungjo" w:cs="Times New Roman"/>
      <w:b/>
      <w:bCs/>
      <w:caps/>
    </w:rPr>
  </w:style>
  <w:style w:type="paragraph" w:customStyle="1" w:styleId="Ttuloapartado">
    <w:name w:val="Título apartado"/>
    <w:basedOn w:val="Normal"/>
    <w:qFormat/>
    <w:rsid w:val="00046131"/>
    <w:rPr>
      <w:rFonts w:eastAsia="AppleMyungjo" w:cs="Times New Roman"/>
      <w:b/>
      <w:sz w:val="22"/>
      <w:szCs w:val="22"/>
    </w:rPr>
  </w:style>
  <w:style w:type="character" w:customStyle="1" w:styleId="Ttulo1Car">
    <w:name w:val="Título 1 Car"/>
    <w:basedOn w:val="Fuentedeprrafopredeter"/>
    <w:link w:val="Ttulo1"/>
    <w:uiPriority w:val="9"/>
    <w:rsid w:val="00D71B2D"/>
    <w:rPr>
      <w:rFonts w:ascii="Garamond" w:eastAsiaTheme="majorEastAsia" w:hAnsi="Garamond" w:cs="Helvetica Neue"/>
      <w:b/>
      <w:bCs/>
      <w:lang w:val="en-GB"/>
    </w:rPr>
  </w:style>
  <w:style w:type="paragraph" w:styleId="Encabezadodetabladecontenido">
    <w:name w:val="TOC Heading"/>
    <w:basedOn w:val="Ttulo1"/>
    <w:next w:val="Normal"/>
    <w:autoRedefine/>
    <w:uiPriority w:val="39"/>
    <w:unhideWhenUsed/>
    <w:qFormat/>
    <w:rsid w:val="00046AB5"/>
    <w:pPr>
      <w:spacing w:line="276" w:lineRule="auto"/>
      <w:outlineLvl w:val="9"/>
    </w:pPr>
    <w:rPr>
      <w:szCs w:val="28"/>
    </w:rPr>
  </w:style>
  <w:style w:type="character" w:customStyle="1" w:styleId="Ttulo2Car">
    <w:name w:val="Título 2 Car"/>
    <w:basedOn w:val="Fuentedeprrafopredeter"/>
    <w:link w:val="Ttulo2"/>
    <w:uiPriority w:val="9"/>
    <w:rsid w:val="00344C55"/>
    <w:rPr>
      <w:rFonts w:ascii="Times New Roman" w:eastAsiaTheme="majorEastAsia" w:hAnsi="Times New Roman" w:cstheme="majorBidi"/>
      <w:b/>
      <w:bCs/>
      <w:sz w:val="28"/>
      <w:szCs w:val="26"/>
    </w:rPr>
  </w:style>
  <w:style w:type="paragraph" w:styleId="Textonotapie">
    <w:name w:val="footnote text"/>
    <w:basedOn w:val="Normal"/>
    <w:link w:val="TextonotapieCar"/>
    <w:uiPriority w:val="99"/>
    <w:unhideWhenUsed/>
    <w:rsid w:val="00F527AB"/>
    <w:pPr>
      <w:spacing w:line="240" w:lineRule="auto"/>
    </w:pPr>
  </w:style>
  <w:style w:type="character" w:customStyle="1" w:styleId="TextonotapieCar">
    <w:name w:val="Texto nota pie Car"/>
    <w:basedOn w:val="Fuentedeprrafopredeter"/>
    <w:link w:val="Textonotapie"/>
    <w:uiPriority w:val="99"/>
    <w:rsid w:val="00F527AB"/>
    <w:rPr>
      <w:rFonts w:ascii="Times New Roman" w:hAnsi="Times New Roman"/>
      <w:lang w:val="en-GB"/>
    </w:rPr>
  </w:style>
  <w:style w:type="character" w:styleId="Refdenotaalpie">
    <w:name w:val="footnote reference"/>
    <w:basedOn w:val="Fuentedeprrafopredeter"/>
    <w:uiPriority w:val="99"/>
    <w:unhideWhenUsed/>
    <w:rsid w:val="00F527AB"/>
    <w:rPr>
      <w:vertAlign w:val="superscript"/>
    </w:rPr>
  </w:style>
  <w:style w:type="paragraph" w:styleId="Prrafodelista">
    <w:name w:val="List Paragraph"/>
    <w:basedOn w:val="Normal"/>
    <w:uiPriority w:val="34"/>
    <w:qFormat/>
    <w:rsid w:val="00F527AB"/>
    <w:pPr>
      <w:ind w:left="720"/>
      <w:contextualSpacing/>
    </w:pPr>
  </w:style>
  <w:style w:type="table" w:styleId="Tablaconcuadrcula">
    <w:name w:val="Table Grid"/>
    <w:basedOn w:val="Tablanormal"/>
    <w:uiPriority w:val="59"/>
    <w:rsid w:val="009C6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C5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17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oecd-ilibrary.org/trade/trade-related-measur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wto.org/dol2fe/Pages/FE_Search/FE_S_S009-DP.aspx?language=E&amp;CatalogueIdList=31257,28532,13465,27519,26653,3970,5515&amp;CurrentCatalogueIdIndex=6&amp;FullTextHash" TargetMode="External"/><Relationship Id="rId2" Type="http://schemas.openxmlformats.org/officeDocument/2006/relationships/hyperlink" Target="http://www.oecd-ilibrary.org/trade/trade-related-measu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F83A3-FE31-5348-A0F2-F08C1E79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2074</Words>
  <Characters>11412</Characters>
  <Application>Microsoft Macintosh Word</Application>
  <DocSecurity>0</DocSecurity>
  <Lines>95</Lines>
  <Paragraphs>26</Paragraphs>
  <ScaleCrop>false</ScaleCrop>
  <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 Tovar</dc:creator>
  <cp:keywords/>
  <dc:description/>
  <cp:lastModifiedBy>Irene de Tovar</cp:lastModifiedBy>
  <cp:revision>2</cp:revision>
  <dcterms:created xsi:type="dcterms:W3CDTF">2019-06-17T13:26:00Z</dcterms:created>
  <dcterms:modified xsi:type="dcterms:W3CDTF">2019-06-17T13:26:00Z</dcterms:modified>
</cp:coreProperties>
</file>