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20FFA" w14:textId="49843DED" w:rsidR="006544FD" w:rsidRPr="00DC23D5" w:rsidRDefault="006544FD" w:rsidP="006544FD">
      <w:pPr>
        <w:spacing w:before="240" w:line="25" w:lineRule="atLeast"/>
        <w:jc w:val="center"/>
        <w:rPr>
          <w:rFonts w:ascii="Garamond" w:hAnsi="Garamond"/>
          <w:b/>
          <w:sz w:val="30"/>
          <w:szCs w:val="30"/>
        </w:rPr>
      </w:pPr>
      <w:r w:rsidRPr="00DC23D5">
        <w:rPr>
          <w:rFonts w:ascii="Garamond" w:hAnsi="Garamond"/>
          <w:b/>
          <w:sz w:val="30"/>
          <w:szCs w:val="30"/>
        </w:rPr>
        <w:t>El Marco Normativo del Sistema Bancario: las Reformas emprendidas tras la Crisis Financiera (2007-2014)</w:t>
      </w:r>
    </w:p>
    <w:p w14:paraId="143261A1" w14:textId="3FA723AB" w:rsidR="006544FD" w:rsidRDefault="006544FD" w:rsidP="006544FD">
      <w:pPr>
        <w:spacing w:before="240" w:line="25" w:lineRule="atLeast"/>
        <w:rPr>
          <w:rFonts w:ascii="Garamond" w:hAnsi="Garamond" w:cs="Times New Roman"/>
          <w:b/>
          <w:sz w:val="24"/>
          <w:szCs w:val="24"/>
        </w:rPr>
      </w:pPr>
    </w:p>
    <w:p w14:paraId="0A103349" w14:textId="2A8C3B08" w:rsidR="00657259" w:rsidRDefault="00657259" w:rsidP="006544FD">
      <w:pPr>
        <w:spacing w:before="240" w:line="25" w:lineRule="atLeast"/>
        <w:rPr>
          <w:rFonts w:ascii="Garamond" w:hAnsi="Garamond" w:cs="Times New Roman"/>
          <w:b/>
          <w:sz w:val="24"/>
          <w:szCs w:val="24"/>
        </w:rPr>
      </w:pPr>
    </w:p>
    <w:p w14:paraId="60C16EA2" w14:textId="77BE16B0" w:rsidR="00657259" w:rsidRDefault="00657259" w:rsidP="006544FD">
      <w:pPr>
        <w:spacing w:before="240" w:line="25" w:lineRule="atLeast"/>
        <w:rPr>
          <w:rFonts w:ascii="Garamond" w:hAnsi="Garamond" w:cs="Times New Roman"/>
          <w:b/>
          <w:sz w:val="24"/>
          <w:szCs w:val="24"/>
        </w:rPr>
      </w:pPr>
    </w:p>
    <w:p w14:paraId="527955F9" w14:textId="13E40B00" w:rsidR="00657259" w:rsidRDefault="00657259" w:rsidP="006544FD">
      <w:pPr>
        <w:spacing w:before="240" w:line="25" w:lineRule="atLeast"/>
        <w:rPr>
          <w:rFonts w:ascii="Garamond" w:hAnsi="Garamond" w:cs="Times New Roman"/>
          <w:b/>
          <w:sz w:val="24"/>
          <w:szCs w:val="24"/>
        </w:rPr>
      </w:pPr>
    </w:p>
    <w:p w14:paraId="54DC347E" w14:textId="343156FE" w:rsidR="00657259" w:rsidRDefault="00657259" w:rsidP="008610AE">
      <w:pPr>
        <w:spacing w:before="240" w:line="25" w:lineRule="atLeast"/>
        <w:ind w:left="705"/>
        <w:rPr>
          <w:rFonts w:ascii="Garamond" w:hAnsi="Garamond" w:cs="Times New Roman"/>
          <w:b/>
          <w:sz w:val="24"/>
          <w:szCs w:val="24"/>
        </w:rPr>
      </w:pPr>
      <w:r>
        <w:rPr>
          <w:rFonts w:ascii="Garamond" w:hAnsi="Garamond" w:cs="Times New Roman"/>
          <w:b/>
          <w:sz w:val="24"/>
          <w:szCs w:val="24"/>
        </w:rPr>
        <w:t>RESUMEN:</w:t>
      </w:r>
      <w:r w:rsidR="00EA479E">
        <w:rPr>
          <w:rFonts w:ascii="Garamond" w:hAnsi="Garamond" w:cs="Times New Roman"/>
          <w:b/>
          <w:sz w:val="24"/>
          <w:szCs w:val="24"/>
        </w:rPr>
        <w:t xml:space="preserve"> </w:t>
      </w:r>
      <w:r w:rsidR="00EA479E">
        <w:rPr>
          <w:rFonts w:ascii="Garamond" w:hAnsi="Garamond" w:cs="Times New Roman"/>
          <w:sz w:val="24"/>
          <w:szCs w:val="24"/>
        </w:rPr>
        <w:t xml:space="preserve">La crisis financiera que ha afectado a la economía mundial desde 2007 ha provocado un cambio sin precedentes en la actividad bancaria. A nivel internacional y, sobre todo, en el seno de la UE, el mercado bancario ha experimentado un cambio regulatorio </w:t>
      </w:r>
      <w:r w:rsidR="008610AE">
        <w:rPr>
          <w:rFonts w:ascii="Garamond" w:hAnsi="Garamond" w:cs="Times New Roman"/>
          <w:sz w:val="24"/>
          <w:szCs w:val="24"/>
        </w:rPr>
        <w:t xml:space="preserve">encaminado a una mayor protección del cliente, así como un reforzamiento de las exigencias para poder operar en el mercado. No obstante, estos cambios no han estado exentos de dificultades. La Unión Europea ha protagonizado una evolución institucional acelerada y compleja a fin de evitar otra gran crisis económica como la sufrida. </w:t>
      </w:r>
    </w:p>
    <w:p w14:paraId="2A9C3CDF" w14:textId="7E2FACA9" w:rsidR="00657259" w:rsidRPr="008610AE" w:rsidRDefault="00657259" w:rsidP="008610AE">
      <w:pPr>
        <w:spacing w:before="240" w:line="25" w:lineRule="atLeast"/>
        <w:ind w:left="705"/>
        <w:rPr>
          <w:rFonts w:ascii="Garamond" w:hAnsi="Garamond" w:cs="Times New Roman"/>
          <w:sz w:val="24"/>
          <w:szCs w:val="24"/>
        </w:rPr>
      </w:pPr>
      <w:r>
        <w:rPr>
          <w:rFonts w:ascii="Garamond" w:hAnsi="Garamond" w:cs="Times New Roman"/>
          <w:b/>
          <w:sz w:val="24"/>
          <w:szCs w:val="24"/>
        </w:rPr>
        <w:tab/>
        <w:t>Palabras clave:</w:t>
      </w:r>
      <w:r w:rsidR="008610AE">
        <w:rPr>
          <w:rFonts w:ascii="Garamond" w:hAnsi="Garamond" w:cs="Times New Roman"/>
          <w:b/>
          <w:sz w:val="24"/>
          <w:szCs w:val="24"/>
        </w:rPr>
        <w:t xml:space="preserve"> </w:t>
      </w:r>
      <w:r w:rsidR="008610AE">
        <w:rPr>
          <w:rFonts w:ascii="Garamond" w:hAnsi="Garamond" w:cs="Times New Roman"/>
          <w:sz w:val="24"/>
          <w:szCs w:val="24"/>
        </w:rPr>
        <w:t>Regulación, sistema bancario, requerimientos de capital, supervisión</w:t>
      </w:r>
      <w:r w:rsidR="003D4642">
        <w:rPr>
          <w:rFonts w:ascii="Garamond" w:hAnsi="Garamond" w:cs="Times New Roman"/>
          <w:sz w:val="24"/>
          <w:szCs w:val="24"/>
        </w:rPr>
        <w:t xml:space="preserve"> bancaria</w:t>
      </w:r>
      <w:r w:rsidR="008610AE">
        <w:rPr>
          <w:rFonts w:ascii="Garamond" w:hAnsi="Garamond" w:cs="Times New Roman"/>
          <w:sz w:val="24"/>
          <w:szCs w:val="24"/>
        </w:rPr>
        <w:t>, Basilea.</w:t>
      </w:r>
    </w:p>
    <w:p w14:paraId="1EA8E56E" w14:textId="50766874" w:rsidR="00657259" w:rsidRDefault="00657259" w:rsidP="006544FD">
      <w:pPr>
        <w:spacing w:before="240" w:line="25" w:lineRule="atLeast"/>
        <w:rPr>
          <w:rFonts w:ascii="Garamond" w:hAnsi="Garamond" w:cs="Times New Roman"/>
          <w:b/>
          <w:sz w:val="24"/>
          <w:szCs w:val="24"/>
        </w:rPr>
      </w:pPr>
    </w:p>
    <w:p w14:paraId="69920C85" w14:textId="496609B6" w:rsidR="00657259" w:rsidRPr="004F1BDF" w:rsidRDefault="00657259" w:rsidP="008610AE">
      <w:pPr>
        <w:spacing w:before="240" w:line="25" w:lineRule="atLeast"/>
        <w:ind w:left="705"/>
        <w:rPr>
          <w:rFonts w:ascii="Garamond" w:hAnsi="Garamond" w:cs="Times New Roman"/>
          <w:sz w:val="24"/>
          <w:szCs w:val="24"/>
          <w:lang w:val="en-US"/>
        </w:rPr>
      </w:pPr>
      <w:r>
        <w:rPr>
          <w:rFonts w:ascii="Garamond" w:hAnsi="Garamond" w:cs="Times New Roman"/>
          <w:b/>
          <w:sz w:val="24"/>
          <w:szCs w:val="24"/>
        </w:rPr>
        <w:tab/>
      </w:r>
      <w:r w:rsidRPr="004F1BDF">
        <w:rPr>
          <w:rFonts w:ascii="Garamond" w:hAnsi="Garamond" w:cs="Times New Roman"/>
          <w:b/>
          <w:sz w:val="24"/>
          <w:szCs w:val="24"/>
          <w:lang w:val="en-US"/>
        </w:rPr>
        <w:t>ABSTRACT:</w:t>
      </w:r>
      <w:r w:rsidR="008610AE" w:rsidRPr="004F1BDF">
        <w:rPr>
          <w:rFonts w:ascii="Garamond" w:hAnsi="Garamond" w:cs="Times New Roman"/>
          <w:b/>
          <w:sz w:val="24"/>
          <w:szCs w:val="24"/>
          <w:lang w:val="en-US"/>
        </w:rPr>
        <w:t xml:space="preserve"> </w:t>
      </w:r>
      <w:r w:rsidR="008610AE" w:rsidRPr="004F1BDF">
        <w:rPr>
          <w:rFonts w:ascii="Garamond" w:hAnsi="Garamond" w:cs="Times New Roman"/>
          <w:sz w:val="24"/>
          <w:szCs w:val="24"/>
          <w:lang w:val="en-US"/>
        </w:rPr>
        <w:t xml:space="preserve">The financial crisis that has affected the world economy since 2007 has caused an unprecedented change in the banking activity. At international level and, above all within the EU, banking market experienced a regulatory change aimed at </w:t>
      </w:r>
      <w:r w:rsidR="003D4642" w:rsidRPr="004F1BDF">
        <w:rPr>
          <w:rFonts w:ascii="Garamond" w:hAnsi="Garamond" w:cs="Times New Roman"/>
          <w:sz w:val="24"/>
          <w:szCs w:val="24"/>
          <w:lang w:val="en-US"/>
        </w:rPr>
        <w:t>better</w:t>
      </w:r>
      <w:r w:rsidR="008610AE" w:rsidRPr="004F1BDF">
        <w:rPr>
          <w:rFonts w:ascii="Garamond" w:hAnsi="Garamond" w:cs="Times New Roman"/>
          <w:sz w:val="24"/>
          <w:szCs w:val="24"/>
          <w:lang w:val="en-US"/>
        </w:rPr>
        <w:t xml:space="preserve"> customer protection, as well as a strengthening of the requirements to operate in the market. However, these changes have</w:t>
      </w:r>
      <w:r w:rsidR="003D4642" w:rsidRPr="004F1BDF">
        <w:rPr>
          <w:rFonts w:ascii="Garamond" w:hAnsi="Garamond" w:cs="Times New Roman"/>
          <w:sz w:val="24"/>
          <w:szCs w:val="24"/>
          <w:lang w:val="en-US"/>
        </w:rPr>
        <w:t>n’</w:t>
      </w:r>
      <w:r w:rsidR="008610AE" w:rsidRPr="004F1BDF">
        <w:rPr>
          <w:rFonts w:ascii="Garamond" w:hAnsi="Garamond" w:cs="Times New Roman"/>
          <w:sz w:val="24"/>
          <w:szCs w:val="24"/>
          <w:lang w:val="en-US"/>
        </w:rPr>
        <w:t xml:space="preserve">t been </w:t>
      </w:r>
      <w:proofErr w:type="gramStart"/>
      <w:r w:rsidR="003D4642" w:rsidRPr="004F1BDF">
        <w:rPr>
          <w:rFonts w:ascii="Garamond" w:hAnsi="Garamond" w:cs="Times New Roman"/>
          <w:sz w:val="24"/>
          <w:szCs w:val="24"/>
          <w:lang w:val="en-US"/>
        </w:rPr>
        <w:t>exempt</w:t>
      </w:r>
      <w:proofErr w:type="gramEnd"/>
      <w:r w:rsidR="003D4642" w:rsidRPr="004F1BDF">
        <w:rPr>
          <w:rFonts w:ascii="Garamond" w:hAnsi="Garamond" w:cs="Times New Roman"/>
          <w:sz w:val="24"/>
          <w:szCs w:val="24"/>
          <w:lang w:val="en-US"/>
        </w:rPr>
        <w:t xml:space="preserve"> from</w:t>
      </w:r>
      <w:r w:rsidR="008610AE" w:rsidRPr="004F1BDF">
        <w:rPr>
          <w:rFonts w:ascii="Garamond" w:hAnsi="Garamond" w:cs="Times New Roman"/>
          <w:sz w:val="24"/>
          <w:szCs w:val="24"/>
          <w:lang w:val="en-US"/>
        </w:rPr>
        <w:t xml:space="preserve"> difficulties. The European Union has led an accelerated and complex institutional evolution in order to avoid another economic crisis </w:t>
      </w:r>
      <w:r w:rsidR="003D4642" w:rsidRPr="004F1BDF">
        <w:rPr>
          <w:rFonts w:ascii="Garamond" w:hAnsi="Garamond" w:cs="Times New Roman"/>
          <w:sz w:val="24"/>
          <w:szCs w:val="24"/>
          <w:lang w:val="en-US"/>
        </w:rPr>
        <w:t>such as that</w:t>
      </w:r>
      <w:r w:rsidR="008610AE" w:rsidRPr="004F1BDF">
        <w:rPr>
          <w:rFonts w:ascii="Garamond" w:hAnsi="Garamond" w:cs="Times New Roman"/>
          <w:sz w:val="24"/>
          <w:szCs w:val="24"/>
          <w:lang w:val="en-US"/>
        </w:rPr>
        <w:t xml:space="preserve"> suffered.</w:t>
      </w:r>
    </w:p>
    <w:p w14:paraId="72293898" w14:textId="0BA34E63" w:rsidR="00657259" w:rsidRPr="00A40877" w:rsidRDefault="00657259" w:rsidP="003D4642">
      <w:pPr>
        <w:spacing w:before="240" w:line="25" w:lineRule="atLeast"/>
        <w:ind w:left="705"/>
        <w:rPr>
          <w:rFonts w:ascii="Garamond" w:hAnsi="Garamond" w:cs="Times New Roman"/>
          <w:b/>
          <w:sz w:val="24"/>
          <w:szCs w:val="24"/>
          <w:lang w:val="en-US"/>
        </w:rPr>
      </w:pPr>
      <w:r w:rsidRPr="00A40877">
        <w:rPr>
          <w:rFonts w:ascii="Garamond" w:hAnsi="Garamond" w:cs="Times New Roman"/>
          <w:b/>
          <w:sz w:val="24"/>
          <w:szCs w:val="24"/>
          <w:lang w:val="en-US"/>
        </w:rPr>
        <w:t xml:space="preserve">Keywords: </w:t>
      </w:r>
      <w:r w:rsidR="003D4642" w:rsidRPr="00A40877">
        <w:rPr>
          <w:rFonts w:ascii="Garamond" w:hAnsi="Garamond" w:cs="Times New Roman"/>
          <w:sz w:val="24"/>
          <w:szCs w:val="24"/>
          <w:lang w:val="en-US"/>
        </w:rPr>
        <w:t xml:space="preserve">Regulatory, Banking System, capital requirements, banking </w:t>
      </w:r>
      <w:proofErr w:type="gramStart"/>
      <w:r w:rsidR="003D4642" w:rsidRPr="00A40877">
        <w:rPr>
          <w:rFonts w:ascii="Garamond" w:hAnsi="Garamond" w:cs="Times New Roman"/>
          <w:sz w:val="24"/>
          <w:szCs w:val="24"/>
          <w:lang w:val="en-US"/>
        </w:rPr>
        <w:t>supervision,  Basel</w:t>
      </w:r>
      <w:proofErr w:type="gramEnd"/>
      <w:r w:rsidR="003D4642" w:rsidRPr="00A40877">
        <w:rPr>
          <w:rFonts w:ascii="Garamond" w:hAnsi="Garamond" w:cs="Times New Roman"/>
          <w:sz w:val="24"/>
          <w:szCs w:val="24"/>
          <w:lang w:val="en-US"/>
        </w:rPr>
        <w:t>.</w:t>
      </w:r>
    </w:p>
    <w:p w14:paraId="15BB03A4" w14:textId="428773EF" w:rsidR="00657259" w:rsidRPr="00A40877" w:rsidRDefault="00657259" w:rsidP="006544FD">
      <w:pPr>
        <w:spacing w:before="240" w:line="25" w:lineRule="atLeast"/>
        <w:rPr>
          <w:rFonts w:ascii="Garamond" w:hAnsi="Garamond" w:cs="Times New Roman"/>
          <w:b/>
          <w:sz w:val="24"/>
          <w:szCs w:val="24"/>
          <w:lang w:val="en-US"/>
        </w:rPr>
      </w:pPr>
    </w:p>
    <w:p w14:paraId="61776AFE" w14:textId="1F579CB3" w:rsidR="00657259" w:rsidRDefault="00657259" w:rsidP="006544FD">
      <w:pPr>
        <w:spacing w:before="240" w:line="25" w:lineRule="atLeast"/>
        <w:rPr>
          <w:rFonts w:ascii="Garamond" w:hAnsi="Garamond" w:cs="Times New Roman"/>
          <w:b/>
          <w:sz w:val="24"/>
          <w:szCs w:val="24"/>
        </w:rPr>
      </w:pPr>
      <w:r>
        <w:rPr>
          <w:rFonts w:ascii="Garamond" w:hAnsi="Garamond" w:cs="Times New Roman"/>
          <w:b/>
          <w:sz w:val="24"/>
          <w:szCs w:val="24"/>
        </w:rPr>
        <w:t>LISTADO ABREVIATURAS</w:t>
      </w:r>
    </w:p>
    <w:p w14:paraId="7F233F50" w14:textId="3445CA51" w:rsidR="00657259" w:rsidRPr="00657259" w:rsidRDefault="00657259" w:rsidP="006544FD">
      <w:pPr>
        <w:spacing w:before="240" w:line="25" w:lineRule="atLeast"/>
        <w:rPr>
          <w:rFonts w:ascii="Garamond" w:hAnsi="Garamond" w:cs="Times New Roman"/>
          <w:sz w:val="24"/>
          <w:szCs w:val="24"/>
        </w:rPr>
      </w:pPr>
      <w:r>
        <w:rPr>
          <w:rFonts w:ascii="Garamond" w:hAnsi="Garamond" w:cs="Times New Roman"/>
          <w:sz w:val="24"/>
          <w:szCs w:val="24"/>
        </w:rPr>
        <w:t>UE</w:t>
      </w:r>
      <w:r>
        <w:rPr>
          <w:rFonts w:ascii="Garamond" w:hAnsi="Garamond" w:cs="Times New Roman"/>
          <w:sz w:val="24"/>
          <w:szCs w:val="24"/>
        </w:rPr>
        <w:tab/>
      </w:r>
      <w:r>
        <w:rPr>
          <w:rFonts w:ascii="Garamond" w:hAnsi="Garamond" w:cs="Times New Roman"/>
          <w:sz w:val="24"/>
          <w:szCs w:val="24"/>
        </w:rPr>
        <w:tab/>
        <w:t>Unión Europea</w:t>
      </w:r>
    </w:p>
    <w:p w14:paraId="34E79346" w14:textId="3EBBFC01" w:rsidR="00657259" w:rsidRDefault="00657259" w:rsidP="006544FD">
      <w:pPr>
        <w:spacing w:before="240" w:line="25" w:lineRule="atLeast"/>
        <w:rPr>
          <w:rFonts w:ascii="Garamond" w:hAnsi="Garamond" w:cs="Times New Roman"/>
          <w:sz w:val="24"/>
          <w:szCs w:val="24"/>
        </w:rPr>
      </w:pPr>
      <w:r>
        <w:rPr>
          <w:rFonts w:ascii="Garamond" w:hAnsi="Garamond" w:cs="Times New Roman"/>
          <w:sz w:val="24"/>
          <w:szCs w:val="24"/>
        </w:rPr>
        <w:t>CEE</w:t>
      </w:r>
      <w:r>
        <w:rPr>
          <w:rFonts w:ascii="Garamond" w:hAnsi="Garamond" w:cs="Times New Roman"/>
          <w:sz w:val="24"/>
          <w:szCs w:val="24"/>
        </w:rPr>
        <w:tab/>
      </w:r>
      <w:r>
        <w:rPr>
          <w:rFonts w:ascii="Garamond" w:hAnsi="Garamond" w:cs="Times New Roman"/>
          <w:sz w:val="24"/>
          <w:szCs w:val="24"/>
        </w:rPr>
        <w:tab/>
        <w:t>Comisión Económica Europea</w:t>
      </w:r>
    </w:p>
    <w:p w14:paraId="4CBF9172" w14:textId="3FE7C79B" w:rsidR="00657259" w:rsidRDefault="00657259" w:rsidP="006544FD">
      <w:pPr>
        <w:spacing w:before="240" w:line="25" w:lineRule="atLeast"/>
        <w:rPr>
          <w:rFonts w:ascii="Garamond" w:hAnsi="Garamond" w:cs="Times New Roman"/>
          <w:sz w:val="24"/>
          <w:szCs w:val="24"/>
        </w:rPr>
      </w:pPr>
      <w:r>
        <w:rPr>
          <w:rFonts w:ascii="Garamond" w:hAnsi="Garamond" w:cs="Times New Roman"/>
          <w:sz w:val="24"/>
          <w:szCs w:val="24"/>
        </w:rPr>
        <w:t>PIB</w:t>
      </w:r>
      <w:r>
        <w:rPr>
          <w:rFonts w:ascii="Garamond" w:hAnsi="Garamond" w:cs="Times New Roman"/>
          <w:sz w:val="24"/>
          <w:szCs w:val="24"/>
        </w:rPr>
        <w:tab/>
      </w:r>
      <w:r>
        <w:rPr>
          <w:rFonts w:ascii="Garamond" w:hAnsi="Garamond" w:cs="Times New Roman"/>
          <w:sz w:val="24"/>
          <w:szCs w:val="24"/>
        </w:rPr>
        <w:tab/>
        <w:t>Producto Interior Bruto</w:t>
      </w:r>
    </w:p>
    <w:p w14:paraId="60767079" w14:textId="73B4994B" w:rsidR="00D71E4B" w:rsidRDefault="00657259" w:rsidP="006544FD">
      <w:pPr>
        <w:spacing w:before="240" w:line="25" w:lineRule="atLeast"/>
        <w:rPr>
          <w:rFonts w:ascii="Garamond" w:hAnsi="Garamond" w:cs="Times New Roman"/>
          <w:sz w:val="24"/>
          <w:szCs w:val="24"/>
        </w:rPr>
      </w:pPr>
      <w:r>
        <w:rPr>
          <w:rFonts w:ascii="Garamond" w:hAnsi="Garamond" w:cs="Times New Roman"/>
          <w:sz w:val="24"/>
          <w:szCs w:val="24"/>
        </w:rPr>
        <w:t>EM</w:t>
      </w:r>
      <w:r>
        <w:rPr>
          <w:rFonts w:ascii="Garamond" w:hAnsi="Garamond" w:cs="Times New Roman"/>
          <w:sz w:val="24"/>
          <w:szCs w:val="24"/>
        </w:rPr>
        <w:tab/>
      </w:r>
      <w:r>
        <w:rPr>
          <w:rFonts w:ascii="Garamond" w:hAnsi="Garamond" w:cs="Times New Roman"/>
          <w:sz w:val="24"/>
          <w:szCs w:val="24"/>
        </w:rPr>
        <w:tab/>
        <w:t>Estado(s) Miembro</w:t>
      </w:r>
    </w:p>
    <w:p w14:paraId="7269C64F" w14:textId="2B858F4E" w:rsidR="000A72CD" w:rsidRDefault="000A72CD" w:rsidP="006544FD">
      <w:pPr>
        <w:spacing w:before="240" w:line="25" w:lineRule="atLeast"/>
        <w:rPr>
          <w:rFonts w:ascii="Garamond" w:hAnsi="Garamond" w:cs="Times New Roman"/>
          <w:sz w:val="24"/>
          <w:szCs w:val="24"/>
        </w:rPr>
      </w:pPr>
      <w:r>
        <w:rPr>
          <w:rFonts w:ascii="Garamond" w:hAnsi="Garamond" w:cs="Times New Roman"/>
          <w:sz w:val="24"/>
          <w:szCs w:val="24"/>
        </w:rPr>
        <w:t>TUE</w:t>
      </w:r>
      <w:r w:rsidR="00EA479E">
        <w:rPr>
          <w:rFonts w:ascii="Garamond" w:hAnsi="Garamond" w:cs="Times New Roman"/>
          <w:sz w:val="24"/>
          <w:szCs w:val="24"/>
        </w:rPr>
        <w:tab/>
      </w:r>
      <w:r w:rsidR="00EA479E">
        <w:rPr>
          <w:rFonts w:ascii="Garamond" w:hAnsi="Garamond" w:cs="Times New Roman"/>
          <w:sz w:val="24"/>
          <w:szCs w:val="24"/>
        </w:rPr>
        <w:tab/>
        <w:t>Tratado de la Unión Europea</w:t>
      </w:r>
    </w:p>
    <w:p w14:paraId="76410E45" w14:textId="78CD366C" w:rsidR="000A72CD" w:rsidRDefault="000A72CD" w:rsidP="006544FD">
      <w:pPr>
        <w:spacing w:before="240" w:line="25" w:lineRule="atLeast"/>
        <w:rPr>
          <w:rFonts w:ascii="Garamond" w:hAnsi="Garamond" w:cs="Times New Roman"/>
          <w:sz w:val="24"/>
          <w:szCs w:val="24"/>
        </w:rPr>
      </w:pPr>
      <w:r>
        <w:rPr>
          <w:rFonts w:ascii="Garamond" w:hAnsi="Garamond" w:cs="Times New Roman"/>
          <w:sz w:val="24"/>
          <w:szCs w:val="24"/>
        </w:rPr>
        <w:t>TFUE</w:t>
      </w:r>
      <w:r w:rsidR="00EA479E">
        <w:rPr>
          <w:rFonts w:ascii="Garamond" w:hAnsi="Garamond" w:cs="Times New Roman"/>
          <w:sz w:val="24"/>
          <w:szCs w:val="24"/>
        </w:rPr>
        <w:tab/>
      </w:r>
      <w:r w:rsidR="00EA479E">
        <w:rPr>
          <w:rFonts w:ascii="Garamond" w:hAnsi="Garamond" w:cs="Times New Roman"/>
          <w:sz w:val="24"/>
          <w:szCs w:val="24"/>
        </w:rPr>
        <w:tab/>
        <w:t>Tratado de Funcionamiento de la Unión Europea</w:t>
      </w:r>
    </w:p>
    <w:p w14:paraId="7B6335F2" w14:textId="30501211" w:rsidR="000A72CD" w:rsidRPr="004F1BDF" w:rsidRDefault="000A72CD" w:rsidP="006544FD">
      <w:pPr>
        <w:spacing w:before="240" w:line="25" w:lineRule="atLeast"/>
        <w:rPr>
          <w:rFonts w:ascii="Garamond" w:hAnsi="Garamond" w:cs="Times New Roman"/>
          <w:sz w:val="24"/>
          <w:szCs w:val="24"/>
          <w:lang w:val="en-US"/>
        </w:rPr>
      </w:pPr>
      <w:r w:rsidRPr="004F1BDF">
        <w:rPr>
          <w:rFonts w:ascii="Garamond" w:hAnsi="Garamond" w:cs="Times New Roman"/>
          <w:sz w:val="24"/>
          <w:szCs w:val="24"/>
          <w:lang w:val="en-US"/>
        </w:rPr>
        <w:lastRenderedPageBreak/>
        <w:t>UEM</w:t>
      </w:r>
      <w:r w:rsidR="00EA479E" w:rsidRPr="004F1BDF">
        <w:rPr>
          <w:rFonts w:ascii="Garamond" w:hAnsi="Garamond" w:cs="Times New Roman"/>
          <w:sz w:val="24"/>
          <w:szCs w:val="24"/>
          <w:lang w:val="en-US"/>
        </w:rPr>
        <w:tab/>
      </w:r>
      <w:r w:rsidR="00EA479E" w:rsidRPr="004F1BDF">
        <w:rPr>
          <w:rFonts w:ascii="Garamond" w:hAnsi="Garamond" w:cs="Times New Roman"/>
          <w:sz w:val="24"/>
          <w:szCs w:val="24"/>
          <w:lang w:val="en-US"/>
        </w:rPr>
        <w:tab/>
        <w:t xml:space="preserve">Unión </w:t>
      </w:r>
      <w:proofErr w:type="spellStart"/>
      <w:r w:rsidR="00EA479E" w:rsidRPr="004F1BDF">
        <w:rPr>
          <w:rFonts w:ascii="Garamond" w:hAnsi="Garamond" w:cs="Times New Roman"/>
          <w:sz w:val="24"/>
          <w:szCs w:val="24"/>
          <w:lang w:val="en-US"/>
        </w:rPr>
        <w:t>Económica</w:t>
      </w:r>
      <w:proofErr w:type="spellEnd"/>
      <w:r w:rsidR="00EA479E" w:rsidRPr="004F1BDF">
        <w:rPr>
          <w:rFonts w:ascii="Garamond" w:hAnsi="Garamond" w:cs="Times New Roman"/>
          <w:sz w:val="24"/>
          <w:szCs w:val="24"/>
          <w:lang w:val="en-US"/>
        </w:rPr>
        <w:t xml:space="preserve"> y </w:t>
      </w:r>
      <w:proofErr w:type="spellStart"/>
      <w:r w:rsidR="00EA479E" w:rsidRPr="004F1BDF">
        <w:rPr>
          <w:rFonts w:ascii="Garamond" w:hAnsi="Garamond" w:cs="Times New Roman"/>
          <w:sz w:val="24"/>
          <w:szCs w:val="24"/>
          <w:lang w:val="en-US"/>
        </w:rPr>
        <w:t>Monetaria</w:t>
      </w:r>
      <w:proofErr w:type="spellEnd"/>
    </w:p>
    <w:p w14:paraId="3B530065" w14:textId="4EEB4D2F" w:rsidR="00D71E4B" w:rsidRPr="004F1BDF" w:rsidRDefault="00AD053D" w:rsidP="006544FD">
      <w:pPr>
        <w:spacing w:before="240" w:line="25" w:lineRule="atLeast"/>
        <w:rPr>
          <w:rFonts w:ascii="Garamond" w:hAnsi="Garamond" w:cs="Times New Roman"/>
          <w:sz w:val="24"/>
          <w:szCs w:val="24"/>
          <w:lang w:val="en-US"/>
        </w:rPr>
      </w:pPr>
      <w:r w:rsidRPr="004F1BDF">
        <w:rPr>
          <w:rFonts w:ascii="Garamond" w:hAnsi="Garamond" w:cs="Times New Roman"/>
          <w:sz w:val="24"/>
          <w:szCs w:val="24"/>
          <w:lang w:val="en-US"/>
        </w:rPr>
        <w:t>GATT</w:t>
      </w:r>
      <w:r w:rsidRPr="004F1BDF">
        <w:rPr>
          <w:rFonts w:ascii="Garamond" w:hAnsi="Garamond" w:cs="Times New Roman"/>
          <w:sz w:val="24"/>
          <w:szCs w:val="24"/>
          <w:lang w:val="en-US"/>
        </w:rPr>
        <w:tab/>
      </w:r>
      <w:r w:rsidRPr="004F1BDF">
        <w:rPr>
          <w:rFonts w:ascii="Garamond" w:hAnsi="Garamond" w:cs="Times New Roman"/>
          <w:sz w:val="24"/>
          <w:szCs w:val="24"/>
          <w:lang w:val="en-US"/>
        </w:rPr>
        <w:tab/>
        <w:t>Generalized Agreement on Trade and Tariffs</w:t>
      </w:r>
    </w:p>
    <w:p w14:paraId="734F8812" w14:textId="3C2E5ED5" w:rsidR="00D71E4B" w:rsidRDefault="000A72CD" w:rsidP="006544FD">
      <w:pPr>
        <w:spacing w:before="240" w:line="25" w:lineRule="atLeast"/>
        <w:rPr>
          <w:rFonts w:ascii="Garamond" w:hAnsi="Garamond" w:cs="Times New Roman"/>
          <w:sz w:val="24"/>
          <w:szCs w:val="24"/>
        </w:rPr>
      </w:pPr>
      <w:r>
        <w:rPr>
          <w:rFonts w:ascii="Garamond" w:hAnsi="Garamond" w:cs="Times New Roman"/>
          <w:sz w:val="24"/>
          <w:szCs w:val="24"/>
        </w:rPr>
        <w:t>MEDE</w:t>
      </w:r>
      <w:r>
        <w:rPr>
          <w:rFonts w:ascii="Garamond" w:hAnsi="Garamond" w:cs="Times New Roman"/>
          <w:sz w:val="24"/>
          <w:szCs w:val="24"/>
        </w:rPr>
        <w:tab/>
      </w:r>
      <w:r>
        <w:rPr>
          <w:rFonts w:ascii="Garamond" w:hAnsi="Garamond" w:cs="Times New Roman"/>
          <w:sz w:val="24"/>
          <w:szCs w:val="24"/>
        </w:rPr>
        <w:tab/>
        <w:t xml:space="preserve">Mecanismo Europeo de Estabilidad </w:t>
      </w:r>
    </w:p>
    <w:p w14:paraId="59F8E5BF" w14:textId="647641CA" w:rsidR="000A72CD" w:rsidRDefault="000A72CD" w:rsidP="006544FD">
      <w:pPr>
        <w:spacing w:before="240" w:line="25" w:lineRule="atLeast"/>
        <w:rPr>
          <w:rFonts w:ascii="Garamond" w:hAnsi="Garamond" w:cs="Times New Roman"/>
          <w:sz w:val="24"/>
          <w:szCs w:val="24"/>
        </w:rPr>
      </w:pPr>
      <w:r>
        <w:rPr>
          <w:rFonts w:ascii="Garamond" w:hAnsi="Garamond" w:cs="Times New Roman"/>
          <w:sz w:val="24"/>
          <w:szCs w:val="24"/>
        </w:rPr>
        <w:t>SESF</w:t>
      </w:r>
      <w:r>
        <w:rPr>
          <w:rFonts w:ascii="Garamond" w:hAnsi="Garamond" w:cs="Times New Roman"/>
          <w:sz w:val="24"/>
          <w:szCs w:val="24"/>
        </w:rPr>
        <w:tab/>
      </w:r>
      <w:r>
        <w:rPr>
          <w:rFonts w:ascii="Garamond" w:hAnsi="Garamond" w:cs="Times New Roman"/>
          <w:sz w:val="24"/>
          <w:szCs w:val="24"/>
        </w:rPr>
        <w:tab/>
        <w:t>Sistema Europeo de Supervisión Financiera</w:t>
      </w:r>
    </w:p>
    <w:p w14:paraId="27C6DBC5" w14:textId="36AB03BA" w:rsidR="000A72CD" w:rsidRPr="004F1BDF" w:rsidRDefault="000A72CD" w:rsidP="006544FD">
      <w:pPr>
        <w:spacing w:before="240" w:line="25" w:lineRule="atLeast"/>
        <w:rPr>
          <w:rFonts w:ascii="Garamond" w:hAnsi="Garamond" w:cs="Times New Roman"/>
          <w:sz w:val="24"/>
          <w:szCs w:val="24"/>
          <w:lang w:val="en-US"/>
        </w:rPr>
      </w:pPr>
      <w:r w:rsidRPr="004F1BDF">
        <w:rPr>
          <w:rFonts w:ascii="Garamond" w:hAnsi="Garamond" w:cs="Times New Roman"/>
          <w:sz w:val="24"/>
          <w:szCs w:val="24"/>
          <w:lang w:val="en-US"/>
        </w:rPr>
        <w:t>EBA</w:t>
      </w:r>
      <w:r w:rsidRPr="004F1BDF">
        <w:rPr>
          <w:rFonts w:ascii="Garamond" w:hAnsi="Garamond" w:cs="Times New Roman"/>
          <w:sz w:val="24"/>
          <w:szCs w:val="24"/>
          <w:lang w:val="en-US"/>
        </w:rPr>
        <w:tab/>
      </w:r>
      <w:r w:rsidRPr="004F1BDF">
        <w:rPr>
          <w:rFonts w:ascii="Garamond" w:hAnsi="Garamond" w:cs="Times New Roman"/>
          <w:sz w:val="24"/>
          <w:szCs w:val="24"/>
          <w:lang w:val="en-US"/>
        </w:rPr>
        <w:tab/>
        <w:t>European Banking Authority</w:t>
      </w:r>
    </w:p>
    <w:p w14:paraId="1F9D7595" w14:textId="48D61E20" w:rsidR="000A72CD" w:rsidRPr="004F1BDF" w:rsidRDefault="000A72CD" w:rsidP="006544FD">
      <w:pPr>
        <w:spacing w:before="240" w:line="25" w:lineRule="atLeast"/>
        <w:rPr>
          <w:rFonts w:ascii="Garamond" w:hAnsi="Garamond" w:cs="Times New Roman"/>
          <w:sz w:val="24"/>
          <w:szCs w:val="24"/>
          <w:lang w:val="en-US"/>
        </w:rPr>
      </w:pPr>
      <w:r w:rsidRPr="004F1BDF">
        <w:rPr>
          <w:rFonts w:ascii="Garamond" w:hAnsi="Garamond" w:cs="Times New Roman"/>
          <w:sz w:val="24"/>
          <w:szCs w:val="24"/>
          <w:lang w:val="en-US"/>
        </w:rPr>
        <w:t>ESMA</w:t>
      </w:r>
      <w:r w:rsidRPr="004F1BDF">
        <w:rPr>
          <w:rFonts w:ascii="Garamond" w:hAnsi="Garamond" w:cs="Times New Roman"/>
          <w:sz w:val="24"/>
          <w:szCs w:val="24"/>
          <w:lang w:val="en-US"/>
        </w:rPr>
        <w:tab/>
      </w:r>
      <w:r w:rsidRPr="004F1BDF">
        <w:rPr>
          <w:rFonts w:ascii="Garamond" w:hAnsi="Garamond" w:cs="Times New Roman"/>
          <w:sz w:val="24"/>
          <w:szCs w:val="24"/>
          <w:lang w:val="en-US"/>
        </w:rPr>
        <w:tab/>
        <w:t>European Securities and Markets Authority</w:t>
      </w:r>
    </w:p>
    <w:p w14:paraId="5D84BA74" w14:textId="08B16A91" w:rsidR="000A72CD" w:rsidRPr="004F1BDF" w:rsidRDefault="000A72CD" w:rsidP="006544FD">
      <w:pPr>
        <w:spacing w:before="240" w:line="25" w:lineRule="atLeast"/>
        <w:rPr>
          <w:rFonts w:ascii="Garamond" w:hAnsi="Garamond" w:cs="Times New Roman"/>
          <w:sz w:val="24"/>
          <w:szCs w:val="24"/>
          <w:lang w:val="en-US"/>
        </w:rPr>
      </w:pPr>
      <w:r w:rsidRPr="004F1BDF">
        <w:rPr>
          <w:rFonts w:ascii="Garamond" w:hAnsi="Garamond" w:cs="Times New Roman"/>
          <w:sz w:val="24"/>
          <w:szCs w:val="24"/>
          <w:lang w:val="en-US"/>
        </w:rPr>
        <w:t>EIOPA</w:t>
      </w:r>
      <w:r w:rsidRPr="004F1BDF">
        <w:rPr>
          <w:rFonts w:ascii="Garamond" w:hAnsi="Garamond" w:cs="Times New Roman"/>
          <w:sz w:val="24"/>
          <w:szCs w:val="24"/>
          <w:lang w:val="en-US"/>
        </w:rPr>
        <w:tab/>
      </w:r>
      <w:r w:rsidR="00AE6F2E" w:rsidRPr="004F1BDF">
        <w:rPr>
          <w:rFonts w:ascii="Garamond" w:hAnsi="Garamond" w:cs="Times New Roman"/>
          <w:sz w:val="24"/>
          <w:szCs w:val="24"/>
          <w:lang w:val="en-US"/>
        </w:rPr>
        <w:t>European Insurance and Occupational Pensions Authority</w:t>
      </w:r>
    </w:p>
    <w:p w14:paraId="653DED93" w14:textId="16E6D53D" w:rsidR="00AE6F2E" w:rsidRDefault="00AE6F2E" w:rsidP="006544FD">
      <w:pPr>
        <w:spacing w:before="240" w:line="25" w:lineRule="atLeast"/>
        <w:rPr>
          <w:rFonts w:ascii="Garamond" w:hAnsi="Garamond" w:cs="Times New Roman"/>
          <w:sz w:val="24"/>
          <w:szCs w:val="24"/>
        </w:rPr>
      </w:pPr>
      <w:r w:rsidRPr="00AE6F2E">
        <w:rPr>
          <w:rFonts w:ascii="Garamond" w:hAnsi="Garamond" w:cs="Times New Roman"/>
          <w:sz w:val="24"/>
          <w:szCs w:val="24"/>
        </w:rPr>
        <w:t>AESPJ</w:t>
      </w:r>
      <w:r>
        <w:rPr>
          <w:rFonts w:ascii="Garamond" w:hAnsi="Garamond" w:cs="Times New Roman"/>
          <w:sz w:val="24"/>
          <w:szCs w:val="24"/>
        </w:rPr>
        <w:tab/>
      </w:r>
      <w:r>
        <w:rPr>
          <w:rFonts w:ascii="Garamond" w:hAnsi="Garamond" w:cs="Times New Roman"/>
          <w:sz w:val="24"/>
          <w:szCs w:val="24"/>
        </w:rPr>
        <w:tab/>
        <w:t>Autoridad Europea de Seguros y Pensiones de Jubilación</w:t>
      </w:r>
    </w:p>
    <w:p w14:paraId="37D8DB96" w14:textId="1E210261" w:rsidR="000A72CD" w:rsidRDefault="000A72CD" w:rsidP="006544FD">
      <w:pPr>
        <w:spacing w:before="240" w:line="25" w:lineRule="atLeast"/>
        <w:rPr>
          <w:rFonts w:ascii="Garamond" w:hAnsi="Garamond" w:cs="Times New Roman"/>
          <w:sz w:val="24"/>
          <w:szCs w:val="24"/>
        </w:rPr>
      </w:pPr>
      <w:r>
        <w:rPr>
          <w:rFonts w:ascii="Garamond" w:hAnsi="Garamond" w:cs="Times New Roman"/>
          <w:sz w:val="24"/>
          <w:szCs w:val="24"/>
        </w:rPr>
        <w:t>ESRB</w:t>
      </w:r>
      <w:r>
        <w:rPr>
          <w:rFonts w:ascii="Garamond" w:hAnsi="Garamond" w:cs="Times New Roman"/>
          <w:sz w:val="24"/>
          <w:szCs w:val="24"/>
        </w:rPr>
        <w:tab/>
      </w:r>
      <w:r>
        <w:rPr>
          <w:rFonts w:ascii="Garamond" w:hAnsi="Garamond" w:cs="Times New Roman"/>
          <w:sz w:val="24"/>
          <w:szCs w:val="24"/>
        </w:rPr>
        <w:tab/>
      </w:r>
      <w:proofErr w:type="spellStart"/>
      <w:r>
        <w:rPr>
          <w:rFonts w:ascii="Garamond" w:hAnsi="Garamond" w:cs="Times New Roman"/>
          <w:sz w:val="24"/>
          <w:szCs w:val="24"/>
        </w:rPr>
        <w:t>European</w:t>
      </w:r>
      <w:proofErr w:type="spellEnd"/>
      <w:r>
        <w:rPr>
          <w:rFonts w:ascii="Garamond" w:hAnsi="Garamond" w:cs="Times New Roman"/>
          <w:sz w:val="24"/>
          <w:szCs w:val="24"/>
        </w:rPr>
        <w:t xml:space="preserve"> </w:t>
      </w:r>
      <w:proofErr w:type="spellStart"/>
      <w:r>
        <w:rPr>
          <w:rFonts w:ascii="Garamond" w:hAnsi="Garamond" w:cs="Times New Roman"/>
          <w:sz w:val="24"/>
          <w:szCs w:val="24"/>
        </w:rPr>
        <w:t>Systemic</w:t>
      </w:r>
      <w:proofErr w:type="spellEnd"/>
      <w:r>
        <w:rPr>
          <w:rFonts w:ascii="Garamond" w:hAnsi="Garamond" w:cs="Times New Roman"/>
          <w:sz w:val="24"/>
          <w:szCs w:val="24"/>
        </w:rPr>
        <w:t xml:space="preserve"> </w:t>
      </w:r>
      <w:proofErr w:type="spellStart"/>
      <w:r>
        <w:rPr>
          <w:rFonts w:ascii="Garamond" w:hAnsi="Garamond" w:cs="Times New Roman"/>
          <w:sz w:val="24"/>
          <w:szCs w:val="24"/>
        </w:rPr>
        <w:t>Risk</w:t>
      </w:r>
      <w:proofErr w:type="spellEnd"/>
      <w:r>
        <w:rPr>
          <w:rFonts w:ascii="Garamond" w:hAnsi="Garamond" w:cs="Times New Roman"/>
          <w:sz w:val="24"/>
          <w:szCs w:val="24"/>
        </w:rPr>
        <w:t xml:space="preserve"> </w:t>
      </w:r>
      <w:proofErr w:type="spellStart"/>
      <w:r>
        <w:rPr>
          <w:rFonts w:ascii="Garamond" w:hAnsi="Garamond" w:cs="Times New Roman"/>
          <w:sz w:val="24"/>
          <w:szCs w:val="24"/>
        </w:rPr>
        <w:t>Board</w:t>
      </w:r>
      <w:proofErr w:type="spellEnd"/>
    </w:p>
    <w:p w14:paraId="7C20B6E6" w14:textId="6A689F84" w:rsidR="000A72CD" w:rsidRDefault="000A72CD" w:rsidP="006544FD">
      <w:pPr>
        <w:spacing w:before="240" w:line="25" w:lineRule="atLeast"/>
        <w:rPr>
          <w:rFonts w:ascii="Garamond" w:hAnsi="Garamond" w:cs="Times New Roman"/>
          <w:sz w:val="24"/>
          <w:szCs w:val="24"/>
        </w:rPr>
      </w:pPr>
      <w:r>
        <w:rPr>
          <w:rFonts w:ascii="Garamond" w:hAnsi="Garamond" w:cs="Times New Roman"/>
          <w:sz w:val="24"/>
          <w:szCs w:val="24"/>
        </w:rPr>
        <w:t>JERS</w:t>
      </w:r>
      <w:r>
        <w:rPr>
          <w:rFonts w:ascii="Garamond" w:hAnsi="Garamond" w:cs="Times New Roman"/>
          <w:sz w:val="24"/>
          <w:szCs w:val="24"/>
        </w:rPr>
        <w:tab/>
      </w:r>
      <w:r>
        <w:rPr>
          <w:rFonts w:ascii="Garamond" w:hAnsi="Garamond" w:cs="Times New Roman"/>
          <w:sz w:val="24"/>
          <w:szCs w:val="24"/>
        </w:rPr>
        <w:tab/>
        <w:t>Junta Europea de Riesgo Sistémico</w:t>
      </w:r>
    </w:p>
    <w:p w14:paraId="51C18A6C" w14:textId="603E01E0" w:rsidR="000A72CD" w:rsidRDefault="00C061E3" w:rsidP="006544FD">
      <w:pPr>
        <w:spacing w:before="240" w:line="25" w:lineRule="atLeast"/>
        <w:rPr>
          <w:rFonts w:ascii="Garamond" w:hAnsi="Garamond" w:cs="Times New Roman"/>
          <w:sz w:val="24"/>
          <w:szCs w:val="24"/>
        </w:rPr>
      </w:pPr>
      <w:r>
        <w:rPr>
          <w:rFonts w:ascii="Garamond" w:hAnsi="Garamond" w:cs="Times New Roman"/>
          <w:sz w:val="24"/>
          <w:szCs w:val="24"/>
        </w:rPr>
        <w:t>CE</w:t>
      </w:r>
      <w:r>
        <w:rPr>
          <w:rFonts w:ascii="Garamond" w:hAnsi="Garamond" w:cs="Times New Roman"/>
          <w:sz w:val="24"/>
          <w:szCs w:val="24"/>
        </w:rPr>
        <w:tab/>
      </w:r>
      <w:r>
        <w:rPr>
          <w:rFonts w:ascii="Garamond" w:hAnsi="Garamond" w:cs="Times New Roman"/>
          <w:sz w:val="24"/>
          <w:szCs w:val="24"/>
        </w:rPr>
        <w:tab/>
        <w:t>Comisión Europea</w:t>
      </w:r>
    </w:p>
    <w:p w14:paraId="039CD240" w14:textId="368F4EA0" w:rsidR="000A72CD" w:rsidRDefault="00C061E3" w:rsidP="006544FD">
      <w:pPr>
        <w:spacing w:before="240" w:line="25" w:lineRule="atLeast"/>
        <w:rPr>
          <w:rFonts w:ascii="Garamond" w:hAnsi="Garamond" w:cs="Times New Roman"/>
          <w:sz w:val="24"/>
          <w:szCs w:val="24"/>
        </w:rPr>
      </w:pPr>
      <w:r>
        <w:rPr>
          <w:rFonts w:ascii="Garamond" w:hAnsi="Garamond" w:cs="Times New Roman"/>
          <w:sz w:val="24"/>
          <w:szCs w:val="24"/>
        </w:rPr>
        <w:t>APR</w:t>
      </w:r>
      <w:r>
        <w:rPr>
          <w:rFonts w:ascii="Garamond" w:hAnsi="Garamond" w:cs="Times New Roman"/>
          <w:sz w:val="24"/>
          <w:szCs w:val="24"/>
        </w:rPr>
        <w:tab/>
      </w:r>
      <w:r>
        <w:rPr>
          <w:rFonts w:ascii="Garamond" w:hAnsi="Garamond" w:cs="Times New Roman"/>
          <w:sz w:val="24"/>
          <w:szCs w:val="24"/>
        </w:rPr>
        <w:tab/>
        <w:t>Activos Ponderados por Riesgo</w:t>
      </w:r>
    </w:p>
    <w:p w14:paraId="7D61F9EC" w14:textId="50E05585" w:rsidR="00D71E4B" w:rsidRDefault="00C061E3" w:rsidP="006544FD">
      <w:pPr>
        <w:spacing w:before="240" w:line="25" w:lineRule="atLeast"/>
        <w:rPr>
          <w:rFonts w:ascii="Garamond" w:hAnsi="Garamond" w:cs="Times New Roman"/>
          <w:sz w:val="24"/>
          <w:szCs w:val="24"/>
        </w:rPr>
      </w:pPr>
      <w:proofErr w:type="spellStart"/>
      <w:r>
        <w:rPr>
          <w:rFonts w:ascii="Garamond" w:hAnsi="Garamond" w:cs="Times New Roman"/>
          <w:sz w:val="24"/>
          <w:szCs w:val="24"/>
        </w:rPr>
        <w:t>BdE</w:t>
      </w:r>
      <w:proofErr w:type="spellEnd"/>
      <w:r>
        <w:rPr>
          <w:rFonts w:ascii="Garamond" w:hAnsi="Garamond" w:cs="Times New Roman"/>
          <w:sz w:val="24"/>
          <w:szCs w:val="24"/>
        </w:rPr>
        <w:tab/>
      </w:r>
      <w:r>
        <w:rPr>
          <w:rFonts w:ascii="Garamond" w:hAnsi="Garamond" w:cs="Times New Roman"/>
          <w:sz w:val="24"/>
          <w:szCs w:val="24"/>
        </w:rPr>
        <w:tab/>
        <w:t>Banco de España</w:t>
      </w:r>
    </w:p>
    <w:p w14:paraId="076498B0" w14:textId="145D41A4" w:rsidR="00887187" w:rsidRDefault="00887187" w:rsidP="006544FD">
      <w:pPr>
        <w:spacing w:before="240" w:line="25" w:lineRule="atLeast"/>
        <w:rPr>
          <w:rFonts w:ascii="Garamond" w:hAnsi="Garamond" w:cs="Times New Roman"/>
          <w:sz w:val="24"/>
          <w:szCs w:val="24"/>
        </w:rPr>
      </w:pPr>
      <w:r>
        <w:rPr>
          <w:rFonts w:ascii="Garamond" w:hAnsi="Garamond" w:cs="Times New Roman"/>
          <w:sz w:val="24"/>
          <w:szCs w:val="24"/>
        </w:rPr>
        <w:t>BCE</w:t>
      </w:r>
      <w:r>
        <w:rPr>
          <w:rFonts w:ascii="Garamond" w:hAnsi="Garamond" w:cs="Times New Roman"/>
          <w:sz w:val="24"/>
          <w:szCs w:val="24"/>
        </w:rPr>
        <w:tab/>
      </w:r>
      <w:r>
        <w:rPr>
          <w:rFonts w:ascii="Garamond" w:hAnsi="Garamond" w:cs="Times New Roman"/>
          <w:sz w:val="24"/>
          <w:szCs w:val="24"/>
        </w:rPr>
        <w:tab/>
        <w:t>Banco Central Europeo</w:t>
      </w:r>
    </w:p>
    <w:p w14:paraId="5C3E6C30" w14:textId="3EA612FE" w:rsidR="00887187" w:rsidRDefault="00887187" w:rsidP="006544FD">
      <w:pPr>
        <w:spacing w:before="240" w:line="25" w:lineRule="atLeast"/>
        <w:rPr>
          <w:rFonts w:ascii="Garamond" w:hAnsi="Garamond" w:cs="Times New Roman"/>
          <w:sz w:val="24"/>
          <w:szCs w:val="24"/>
        </w:rPr>
      </w:pPr>
      <w:r>
        <w:rPr>
          <w:rFonts w:ascii="Garamond" w:hAnsi="Garamond" w:cs="Times New Roman"/>
          <w:sz w:val="24"/>
          <w:szCs w:val="24"/>
        </w:rPr>
        <w:t>FROB</w:t>
      </w:r>
      <w:r>
        <w:rPr>
          <w:rFonts w:ascii="Garamond" w:hAnsi="Garamond" w:cs="Times New Roman"/>
          <w:sz w:val="24"/>
          <w:szCs w:val="24"/>
        </w:rPr>
        <w:tab/>
      </w:r>
      <w:r>
        <w:rPr>
          <w:rFonts w:ascii="Garamond" w:hAnsi="Garamond" w:cs="Times New Roman"/>
          <w:sz w:val="24"/>
          <w:szCs w:val="24"/>
        </w:rPr>
        <w:tab/>
        <w:t>Fondo de Reestructuración y Ordenación Bancaria</w:t>
      </w:r>
    </w:p>
    <w:p w14:paraId="029C3575" w14:textId="611E375C" w:rsidR="00887187" w:rsidRDefault="00887187" w:rsidP="006544FD">
      <w:pPr>
        <w:spacing w:before="240" w:line="25" w:lineRule="atLeast"/>
        <w:rPr>
          <w:rFonts w:ascii="Garamond" w:hAnsi="Garamond" w:cs="Times New Roman"/>
          <w:sz w:val="24"/>
          <w:szCs w:val="24"/>
        </w:rPr>
      </w:pPr>
      <w:r w:rsidRPr="006544FD">
        <w:rPr>
          <w:rFonts w:ascii="Garamond" w:hAnsi="Garamond" w:cs="Times New Roman"/>
          <w:sz w:val="24"/>
          <w:szCs w:val="24"/>
        </w:rPr>
        <w:t>AMCESFI</w:t>
      </w:r>
      <w:r>
        <w:rPr>
          <w:rFonts w:ascii="Garamond" w:hAnsi="Garamond" w:cs="Times New Roman"/>
          <w:sz w:val="24"/>
          <w:szCs w:val="24"/>
        </w:rPr>
        <w:tab/>
      </w:r>
      <w:r w:rsidRPr="00887187">
        <w:rPr>
          <w:rFonts w:ascii="Garamond" w:hAnsi="Garamond" w:cs="Times New Roman"/>
          <w:sz w:val="24"/>
          <w:szCs w:val="24"/>
        </w:rPr>
        <w:t xml:space="preserve">Autoridad </w:t>
      </w:r>
      <w:proofErr w:type="spellStart"/>
      <w:r w:rsidRPr="00887187">
        <w:rPr>
          <w:rFonts w:ascii="Garamond" w:hAnsi="Garamond" w:cs="Times New Roman"/>
          <w:sz w:val="24"/>
          <w:szCs w:val="24"/>
        </w:rPr>
        <w:t>Macroprudencial</w:t>
      </w:r>
      <w:proofErr w:type="spellEnd"/>
      <w:r w:rsidRPr="00887187">
        <w:rPr>
          <w:rFonts w:ascii="Garamond" w:hAnsi="Garamond" w:cs="Times New Roman"/>
          <w:sz w:val="24"/>
          <w:szCs w:val="24"/>
        </w:rPr>
        <w:t xml:space="preserve"> Consejo de Estabilidad Financiera</w:t>
      </w:r>
    </w:p>
    <w:p w14:paraId="3DCA24E6" w14:textId="1B5E8D33" w:rsidR="00887187" w:rsidRPr="004F1BDF" w:rsidRDefault="00887187" w:rsidP="006544FD">
      <w:pPr>
        <w:spacing w:before="240" w:line="25" w:lineRule="atLeast"/>
        <w:rPr>
          <w:rFonts w:ascii="Garamond" w:hAnsi="Garamond" w:cs="Times New Roman"/>
          <w:sz w:val="24"/>
          <w:szCs w:val="24"/>
          <w:lang w:val="en-US"/>
        </w:rPr>
      </w:pPr>
      <w:r w:rsidRPr="004F1BDF">
        <w:rPr>
          <w:rFonts w:ascii="Garamond" w:hAnsi="Garamond" w:cs="Times New Roman"/>
          <w:sz w:val="24"/>
          <w:szCs w:val="24"/>
          <w:lang w:val="en-US"/>
        </w:rPr>
        <w:t>MiFID</w:t>
      </w:r>
      <w:r w:rsidRPr="004F1BDF">
        <w:rPr>
          <w:rFonts w:ascii="Garamond" w:hAnsi="Garamond" w:cs="Times New Roman"/>
          <w:sz w:val="24"/>
          <w:szCs w:val="24"/>
          <w:lang w:val="en-US"/>
        </w:rPr>
        <w:tab/>
      </w:r>
      <w:r w:rsidRPr="004F1BDF">
        <w:rPr>
          <w:rFonts w:ascii="Garamond" w:hAnsi="Garamond" w:cs="Times New Roman"/>
          <w:sz w:val="24"/>
          <w:szCs w:val="24"/>
          <w:lang w:val="en-US"/>
        </w:rPr>
        <w:tab/>
        <w:t>Markets in Financial Instruments Directive</w:t>
      </w:r>
    </w:p>
    <w:p w14:paraId="6480A7C9" w14:textId="6C68D2C9" w:rsidR="00887187" w:rsidRPr="004F1BDF" w:rsidRDefault="00887187" w:rsidP="006544FD">
      <w:pPr>
        <w:spacing w:before="240" w:line="25" w:lineRule="atLeast"/>
        <w:rPr>
          <w:rFonts w:ascii="Garamond" w:hAnsi="Garamond" w:cs="Times New Roman"/>
          <w:sz w:val="24"/>
          <w:szCs w:val="24"/>
          <w:lang w:val="en-US"/>
        </w:rPr>
      </w:pPr>
      <w:proofErr w:type="spellStart"/>
      <w:r w:rsidRPr="004F1BDF">
        <w:rPr>
          <w:rFonts w:ascii="Garamond" w:hAnsi="Garamond" w:cs="Times New Roman"/>
          <w:sz w:val="24"/>
          <w:szCs w:val="24"/>
          <w:lang w:val="en-US"/>
        </w:rPr>
        <w:t>MiFIR</w:t>
      </w:r>
      <w:proofErr w:type="spellEnd"/>
      <w:r w:rsidRPr="004F1BDF">
        <w:rPr>
          <w:rFonts w:ascii="Garamond" w:hAnsi="Garamond" w:cs="Times New Roman"/>
          <w:sz w:val="24"/>
          <w:szCs w:val="24"/>
          <w:lang w:val="en-US"/>
        </w:rPr>
        <w:tab/>
      </w:r>
      <w:r w:rsidRPr="004F1BDF">
        <w:rPr>
          <w:rFonts w:ascii="Garamond" w:hAnsi="Garamond" w:cs="Times New Roman"/>
          <w:sz w:val="24"/>
          <w:szCs w:val="24"/>
          <w:lang w:val="en-US"/>
        </w:rPr>
        <w:tab/>
        <w:t>Markets in Financial Instruments Regulation</w:t>
      </w:r>
    </w:p>
    <w:p w14:paraId="66E205A8" w14:textId="42F1F296" w:rsidR="00887187" w:rsidRDefault="00887187" w:rsidP="006544FD">
      <w:pPr>
        <w:spacing w:before="240" w:line="25" w:lineRule="atLeast"/>
        <w:rPr>
          <w:rFonts w:ascii="Garamond" w:hAnsi="Garamond" w:cs="Times New Roman"/>
          <w:sz w:val="24"/>
          <w:szCs w:val="24"/>
        </w:rPr>
      </w:pPr>
      <w:r>
        <w:rPr>
          <w:rFonts w:ascii="Garamond" w:hAnsi="Garamond" w:cs="Times New Roman"/>
          <w:sz w:val="24"/>
          <w:szCs w:val="24"/>
        </w:rPr>
        <w:t>JUR</w:t>
      </w:r>
      <w:r>
        <w:rPr>
          <w:rFonts w:ascii="Garamond" w:hAnsi="Garamond" w:cs="Times New Roman"/>
          <w:sz w:val="24"/>
          <w:szCs w:val="24"/>
        </w:rPr>
        <w:tab/>
      </w:r>
      <w:r>
        <w:rPr>
          <w:rFonts w:ascii="Garamond" w:hAnsi="Garamond" w:cs="Times New Roman"/>
          <w:sz w:val="24"/>
          <w:szCs w:val="24"/>
        </w:rPr>
        <w:tab/>
        <w:t>Junta Única de Resolución</w:t>
      </w:r>
    </w:p>
    <w:p w14:paraId="22935604" w14:textId="4BB358D9" w:rsidR="00887187" w:rsidRDefault="00887187" w:rsidP="006544FD">
      <w:pPr>
        <w:spacing w:before="240" w:line="25" w:lineRule="atLeast"/>
        <w:rPr>
          <w:rFonts w:ascii="Garamond" w:hAnsi="Garamond" w:cs="Times New Roman"/>
          <w:sz w:val="24"/>
          <w:szCs w:val="24"/>
        </w:rPr>
      </w:pPr>
      <w:r>
        <w:rPr>
          <w:rFonts w:ascii="Garamond" w:hAnsi="Garamond" w:cs="Times New Roman"/>
          <w:sz w:val="24"/>
          <w:szCs w:val="24"/>
        </w:rPr>
        <w:t>MUR</w:t>
      </w:r>
      <w:r>
        <w:rPr>
          <w:rFonts w:ascii="Garamond" w:hAnsi="Garamond" w:cs="Times New Roman"/>
          <w:sz w:val="24"/>
          <w:szCs w:val="24"/>
        </w:rPr>
        <w:tab/>
      </w:r>
      <w:r>
        <w:rPr>
          <w:rFonts w:ascii="Garamond" w:hAnsi="Garamond" w:cs="Times New Roman"/>
          <w:sz w:val="24"/>
          <w:szCs w:val="24"/>
        </w:rPr>
        <w:tab/>
        <w:t>Mecanismo Único de Resolución</w:t>
      </w:r>
    </w:p>
    <w:p w14:paraId="39FE2126" w14:textId="73FAECD4" w:rsidR="00887187" w:rsidRDefault="00887187" w:rsidP="006544FD">
      <w:pPr>
        <w:spacing w:before="240" w:line="25" w:lineRule="atLeast"/>
        <w:rPr>
          <w:rFonts w:ascii="Garamond" w:hAnsi="Garamond" w:cs="Times New Roman"/>
          <w:sz w:val="24"/>
          <w:szCs w:val="24"/>
        </w:rPr>
      </w:pPr>
      <w:r>
        <w:rPr>
          <w:rFonts w:ascii="Garamond" w:hAnsi="Garamond" w:cs="Times New Roman"/>
          <w:sz w:val="24"/>
          <w:szCs w:val="24"/>
        </w:rPr>
        <w:t>MUS</w:t>
      </w:r>
      <w:r>
        <w:rPr>
          <w:rFonts w:ascii="Garamond" w:hAnsi="Garamond" w:cs="Times New Roman"/>
          <w:sz w:val="24"/>
          <w:szCs w:val="24"/>
        </w:rPr>
        <w:tab/>
      </w:r>
      <w:r>
        <w:rPr>
          <w:rFonts w:ascii="Garamond" w:hAnsi="Garamond" w:cs="Times New Roman"/>
          <w:sz w:val="24"/>
          <w:szCs w:val="24"/>
        </w:rPr>
        <w:tab/>
        <w:t>Mecanismo Único de Supervisión</w:t>
      </w:r>
    </w:p>
    <w:p w14:paraId="16E054F9" w14:textId="0C6B5059" w:rsidR="00C061E3" w:rsidRDefault="00C061E3" w:rsidP="006544FD">
      <w:pPr>
        <w:spacing w:before="240" w:line="25" w:lineRule="atLeast"/>
        <w:rPr>
          <w:rFonts w:ascii="Garamond" w:hAnsi="Garamond" w:cs="Times New Roman"/>
          <w:sz w:val="24"/>
          <w:szCs w:val="24"/>
        </w:rPr>
      </w:pPr>
    </w:p>
    <w:p w14:paraId="0BF62C65" w14:textId="7E11CBCB" w:rsidR="00887187" w:rsidRDefault="00887187" w:rsidP="006544FD">
      <w:pPr>
        <w:spacing w:before="240" w:line="25" w:lineRule="atLeast"/>
        <w:rPr>
          <w:rFonts w:ascii="Garamond" w:hAnsi="Garamond" w:cs="Times New Roman"/>
          <w:sz w:val="24"/>
          <w:szCs w:val="24"/>
        </w:rPr>
      </w:pPr>
    </w:p>
    <w:p w14:paraId="0BC4384A" w14:textId="569249A1" w:rsidR="00887187" w:rsidRDefault="00887187" w:rsidP="006544FD">
      <w:pPr>
        <w:spacing w:before="240" w:line="25" w:lineRule="atLeast"/>
        <w:rPr>
          <w:rFonts w:ascii="Garamond" w:hAnsi="Garamond" w:cs="Times New Roman"/>
          <w:sz w:val="24"/>
          <w:szCs w:val="24"/>
        </w:rPr>
      </w:pPr>
    </w:p>
    <w:p w14:paraId="451F8AB7" w14:textId="66197787" w:rsidR="005518EB" w:rsidRDefault="005518EB" w:rsidP="006544FD">
      <w:pPr>
        <w:spacing w:before="240" w:line="25" w:lineRule="atLeast"/>
        <w:rPr>
          <w:rFonts w:ascii="Garamond" w:hAnsi="Garamond" w:cs="Times New Roman"/>
          <w:sz w:val="24"/>
          <w:szCs w:val="24"/>
        </w:rPr>
      </w:pPr>
      <w:bookmarkStart w:id="0" w:name="_GoBack"/>
      <w:bookmarkEnd w:id="0"/>
    </w:p>
    <w:p w14:paraId="7A0B6934" w14:textId="22CFF710" w:rsidR="005518EB" w:rsidRDefault="005518EB" w:rsidP="006544FD">
      <w:pPr>
        <w:spacing w:before="240" w:line="25" w:lineRule="atLeast"/>
        <w:rPr>
          <w:rFonts w:ascii="Garamond" w:hAnsi="Garamond" w:cs="Times New Roman"/>
          <w:sz w:val="24"/>
          <w:szCs w:val="24"/>
        </w:rPr>
      </w:pPr>
    </w:p>
    <w:p w14:paraId="1F45EE5E" w14:textId="77777777" w:rsidR="005518EB" w:rsidRDefault="005518EB" w:rsidP="006544FD">
      <w:pPr>
        <w:spacing w:before="240" w:line="25" w:lineRule="atLeast"/>
        <w:rPr>
          <w:rFonts w:ascii="Garamond" w:hAnsi="Garamond" w:cs="Times New Roman"/>
          <w:sz w:val="24"/>
          <w:szCs w:val="24"/>
        </w:rPr>
      </w:pPr>
    </w:p>
    <w:p w14:paraId="02AE2E75" w14:textId="3E8BC100" w:rsidR="006F2409" w:rsidRPr="00D71E4B" w:rsidRDefault="006F2409" w:rsidP="00AC1B36">
      <w:pPr>
        <w:pStyle w:val="Prrafodelista"/>
        <w:numPr>
          <w:ilvl w:val="0"/>
          <w:numId w:val="3"/>
        </w:numPr>
        <w:spacing w:before="240" w:line="300" w:lineRule="auto"/>
        <w:contextualSpacing w:val="0"/>
        <w:rPr>
          <w:rFonts w:ascii="Garamond" w:hAnsi="Garamond" w:cs="Times New Roman"/>
          <w:b/>
          <w:sz w:val="30"/>
          <w:szCs w:val="30"/>
        </w:rPr>
      </w:pPr>
      <w:r w:rsidRPr="00D71E4B">
        <w:rPr>
          <w:rFonts w:ascii="Garamond" w:hAnsi="Garamond" w:cs="Times New Roman"/>
          <w:b/>
          <w:sz w:val="30"/>
          <w:szCs w:val="30"/>
        </w:rPr>
        <w:lastRenderedPageBreak/>
        <w:t>Introducción</w:t>
      </w:r>
      <w:r w:rsidR="003929D1" w:rsidRPr="00D71E4B">
        <w:rPr>
          <w:rFonts w:ascii="Garamond" w:hAnsi="Garamond" w:cs="Times New Roman"/>
          <w:b/>
          <w:sz w:val="30"/>
          <w:szCs w:val="30"/>
        </w:rPr>
        <w:t>:</w:t>
      </w:r>
      <w:r w:rsidR="006447C9" w:rsidRPr="00D71E4B">
        <w:rPr>
          <w:rFonts w:ascii="Garamond" w:hAnsi="Garamond" w:cs="Times New Roman"/>
          <w:b/>
          <w:sz w:val="30"/>
          <w:szCs w:val="30"/>
        </w:rPr>
        <w:t xml:space="preserve"> </w:t>
      </w:r>
      <w:r w:rsidR="00DC23D5" w:rsidRPr="00D71E4B">
        <w:rPr>
          <w:rFonts w:ascii="Garamond" w:hAnsi="Garamond" w:cs="Times New Roman"/>
          <w:b/>
          <w:sz w:val="30"/>
          <w:szCs w:val="30"/>
        </w:rPr>
        <w:t>c</w:t>
      </w:r>
      <w:r w:rsidR="006447C9" w:rsidRPr="00D71E4B">
        <w:rPr>
          <w:rFonts w:ascii="Garamond" w:hAnsi="Garamond" w:cs="Times New Roman"/>
          <w:b/>
          <w:sz w:val="30"/>
          <w:szCs w:val="30"/>
        </w:rPr>
        <w:t>ausas de</w:t>
      </w:r>
      <w:r w:rsidR="003929D1" w:rsidRPr="00D71E4B">
        <w:rPr>
          <w:rFonts w:ascii="Garamond" w:hAnsi="Garamond" w:cs="Times New Roman"/>
          <w:b/>
          <w:sz w:val="30"/>
          <w:szCs w:val="30"/>
        </w:rPr>
        <w:t xml:space="preserve"> la crisis económica y financiera</w:t>
      </w:r>
    </w:p>
    <w:p w14:paraId="78CCEFEA" w14:textId="29DDE004" w:rsidR="0075302F" w:rsidRDefault="00DC23D5" w:rsidP="00AC1B36">
      <w:pPr>
        <w:spacing w:before="240" w:line="300" w:lineRule="auto"/>
        <w:rPr>
          <w:rFonts w:ascii="Garamond" w:hAnsi="Garamond" w:cs="Times New Roman"/>
          <w:sz w:val="24"/>
          <w:szCs w:val="24"/>
        </w:rPr>
      </w:pPr>
      <w:r>
        <w:rPr>
          <w:rFonts w:ascii="Garamond" w:hAnsi="Garamond" w:cs="Times New Roman"/>
          <w:sz w:val="24"/>
          <w:szCs w:val="24"/>
        </w:rPr>
        <w:t xml:space="preserve">La crisis económica y financiera que comenzara hace doce años aún sigue dejando secuelas en el sistema financiero mundial. Tras casi una década de episodios críticos, de quiebras de cientos de compañías y de recates a entidades, parece ser que las economías europeas comienzan nuevamente a crecer. </w:t>
      </w:r>
      <w:r w:rsidR="00800FC3">
        <w:rPr>
          <w:rFonts w:ascii="Garamond" w:hAnsi="Garamond" w:cs="Times New Roman"/>
          <w:sz w:val="24"/>
          <w:szCs w:val="24"/>
        </w:rPr>
        <w:t>Sin embargo, las consecuencias de la crisis siguen palpables en la sociedad. Las economías de los Estados Miembro</w:t>
      </w:r>
      <w:r w:rsidR="00657259">
        <w:rPr>
          <w:rFonts w:ascii="Garamond" w:hAnsi="Garamond" w:cs="Times New Roman"/>
          <w:sz w:val="24"/>
          <w:szCs w:val="24"/>
        </w:rPr>
        <w:t xml:space="preserve"> (EM)</w:t>
      </w:r>
      <w:r w:rsidR="00800FC3">
        <w:rPr>
          <w:rFonts w:ascii="Garamond" w:hAnsi="Garamond" w:cs="Times New Roman"/>
          <w:sz w:val="24"/>
          <w:szCs w:val="24"/>
        </w:rPr>
        <w:t xml:space="preserve"> siguen diezmadas y temerosas de una nueva recesión. </w:t>
      </w:r>
      <w:r w:rsidR="0016446A">
        <w:rPr>
          <w:rFonts w:ascii="Garamond" w:hAnsi="Garamond" w:cs="Times New Roman"/>
          <w:sz w:val="24"/>
          <w:szCs w:val="24"/>
        </w:rPr>
        <w:t xml:space="preserve">De ahí que se reflexione acerca de la idoneidad de las reformas emprendidas en los últimos años para construir la Unión Bancaria. </w:t>
      </w:r>
    </w:p>
    <w:p w14:paraId="7781F11B" w14:textId="5E517F22" w:rsidR="003929D1" w:rsidRPr="006544FD" w:rsidRDefault="00800FC3" w:rsidP="00AC1B36">
      <w:pPr>
        <w:spacing w:before="240" w:line="300" w:lineRule="auto"/>
        <w:rPr>
          <w:rFonts w:ascii="Garamond" w:hAnsi="Garamond" w:cs="Times New Roman"/>
          <w:sz w:val="24"/>
          <w:szCs w:val="24"/>
        </w:rPr>
      </w:pPr>
      <w:r>
        <w:rPr>
          <w:rFonts w:ascii="Garamond" w:hAnsi="Garamond" w:cs="Times New Roman"/>
          <w:sz w:val="24"/>
          <w:szCs w:val="24"/>
        </w:rPr>
        <w:t>¿Se ha provisto la Unión Europea</w:t>
      </w:r>
      <w:r w:rsidR="00657259">
        <w:rPr>
          <w:rFonts w:ascii="Garamond" w:hAnsi="Garamond" w:cs="Times New Roman"/>
          <w:sz w:val="24"/>
          <w:szCs w:val="24"/>
        </w:rPr>
        <w:t xml:space="preserve"> (UE)</w:t>
      </w:r>
      <w:r>
        <w:rPr>
          <w:rFonts w:ascii="Garamond" w:hAnsi="Garamond" w:cs="Times New Roman"/>
          <w:sz w:val="24"/>
          <w:szCs w:val="24"/>
        </w:rPr>
        <w:t xml:space="preserve"> de mecanismos para evitar una nueva crisis de esta envergadura? Para responder a esa pregunta, es necesario </w:t>
      </w:r>
      <w:r w:rsidR="0016446A">
        <w:rPr>
          <w:rFonts w:ascii="Garamond" w:hAnsi="Garamond" w:cs="Times New Roman"/>
          <w:sz w:val="24"/>
          <w:szCs w:val="24"/>
        </w:rPr>
        <w:t>esclarecer las causas que originaron la crisis financiera.</w:t>
      </w:r>
      <w:r w:rsidR="0075302F">
        <w:rPr>
          <w:rFonts w:ascii="Garamond" w:hAnsi="Garamond" w:cs="Times New Roman"/>
          <w:sz w:val="24"/>
          <w:szCs w:val="24"/>
        </w:rPr>
        <w:t xml:space="preserve"> El epicentro de </w:t>
      </w:r>
      <w:proofErr w:type="gramStart"/>
      <w:r w:rsidR="0075302F">
        <w:rPr>
          <w:rFonts w:ascii="Garamond" w:hAnsi="Garamond" w:cs="Times New Roman"/>
          <w:sz w:val="24"/>
          <w:szCs w:val="24"/>
        </w:rPr>
        <w:t>la misma</w:t>
      </w:r>
      <w:proofErr w:type="gramEnd"/>
      <w:r w:rsidR="0075302F">
        <w:rPr>
          <w:rFonts w:ascii="Garamond" w:hAnsi="Garamond" w:cs="Times New Roman"/>
          <w:sz w:val="24"/>
          <w:szCs w:val="24"/>
        </w:rPr>
        <w:t xml:space="preserve"> fue, sin duda, l</w:t>
      </w:r>
      <w:r w:rsidR="003929D1" w:rsidRPr="006544FD">
        <w:rPr>
          <w:rFonts w:ascii="Garamond" w:hAnsi="Garamond" w:cs="Times New Roman"/>
          <w:sz w:val="24"/>
          <w:szCs w:val="24"/>
        </w:rPr>
        <w:t xml:space="preserve">a excesiva circulación del crédito y, </w:t>
      </w:r>
      <w:r w:rsidR="004E3034">
        <w:rPr>
          <w:rFonts w:ascii="Garamond" w:hAnsi="Garamond" w:cs="Times New Roman"/>
          <w:sz w:val="24"/>
          <w:szCs w:val="24"/>
        </w:rPr>
        <w:t>como particularidad en España, su relación con</w:t>
      </w:r>
      <w:r w:rsidR="003929D1" w:rsidRPr="006544FD">
        <w:rPr>
          <w:rFonts w:ascii="Garamond" w:hAnsi="Garamond" w:cs="Times New Roman"/>
          <w:sz w:val="24"/>
          <w:szCs w:val="24"/>
        </w:rPr>
        <w:t xml:space="preserve"> el mercado inmobiliario (conocido comúnmente como el </w:t>
      </w:r>
      <w:r w:rsidR="003929D1" w:rsidRPr="006544FD">
        <w:rPr>
          <w:rFonts w:ascii="Garamond" w:hAnsi="Garamond" w:cs="Times New Roman"/>
          <w:i/>
          <w:sz w:val="24"/>
          <w:szCs w:val="24"/>
        </w:rPr>
        <w:t xml:space="preserve">boom </w:t>
      </w:r>
      <w:r w:rsidR="003929D1" w:rsidRPr="006544FD">
        <w:rPr>
          <w:rFonts w:ascii="Garamond" w:hAnsi="Garamond" w:cs="Times New Roman"/>
          <w:sz w:val="24"/>
          <w:szCs w:val="24"/>
        </w:rPr>
        <w:t xml:space="preserve">del ladrillo). </w:t>
      </w:r>
    </w:p>
    <w:p w14:paraId="3A99FB42" w14:textId="0B841160" w:rsidR="003929D1" w:rsidRPr="006544FD" w:rsidRDefault="00A510FE" w:rsidP="00AC1B36">
      <w:pPr>
        <w:spacing w:before="240" w:line="300" w:lineRule="auto"/>
        <w:rPr>
          <w:rFonts w:ascii="Garamond" w:hAnsi="Garamond" w:cs="Times New Roman"/>
          <w:sz w:val="24"/>
          <w:szCs w:val="24"/>
        </w:rPr>
      </w:pPr>
      <w:r>
        <w:rPr>
          <w:rFonts w:ascii="Garamond" w:hAnsi="Garamond" w:cs="Times New Roman"/>
          <w:sz w:val="24"/>
          <w:szCs w:val="24"/>
        </w:rPr>
        <w:t xml:space="preserve">El panorama del crecimiento económico que venía desarrollando la economía mundial, se tornó gris cuando, en septiembre de 2008, quiebra el banco de inversión Lehman </w:t>
      </w:r>
      <w:proofErr w:type="spellStart"/>
      <w:r>
        <w:rPr>
          <w:rFonts w:ascii="Garamond" w:hAnsi="Garamond" w:cs="Times New Roman"/>
          <w:sz w:val="24"/>
          <w:szCs w:val="24"/>
        </w:rPr>
        <w:t>Brothers</w:t>
      </w:r>
      <w:proofErr w:type="spellEnd"/>
      <w:r>
        <w:rPr>
          <w:rFonts w:ascii="Garamond" w:hAnsi="Garamond" w:cs="Times New Roman"/>
          <w:sz w:val="24"/>
          <w:szCs w:val="24"/>
        </w:rPr>
        <w:t>. Se prende así la mecha que recorre todo</w:t>
      </w:r>
      <w:r w:rsidR="003929D1" w:rsidRPr="006544FD">
        <w:rPr>
          <w:rFonts w:ascii="Garamond" w:hAnsi="Garamond" w:cs="Times New Roman"/>
          <w:sz w:val="24"/>
          <w:szCs w:val="24"/>
        </w:rPr>
        <w:t xml:space="preserve"> Estados Unidos</w:t>
      </w:r>
      <w:r w:rsidR="00E04C0B" w:rsidRPr="006544FD">
        <w:rPr>
          <w:rFonts w:ascii="Garamond" w:hAnsi="Garamond" w:cs="Times New Roman"/>
          <w:sz w:val="24"/>
          <w:szCs w:val="24"/>
        </w:rPr>
        <w:t xml:space="preserve"> (quién allá por el 1934 dictase la Ley </w:t>
      </w:r>
      <w:proofErr w:type="spellStart"/>
      <w:r w:rsidR="00E04C0B" w:rsidRPr="006544FD">
        <w:rPr>
          <w:rFonts w:ascii="Garamond" w:hAnsi="Garamond" w:cs="Times New Roman"/>
          <w:sz w:val="24"/>
          <w:szCs w:val="24"/>
        </w:rPr>
        <w:t>Glass-Steagall</w:t>
      </w:r>
      <w:proofErr w:type="spellEnd"/>
      <w:r>
        <w:rPr>
          <w:rStyle w:val="Refdenotaalpie"/>
          <w:rFonts w:ascii="Garamond" w:hAnsi="Garamond" w:cs="Times New Roman"/>
          <w:sz w:val="24"/>
          <w:szCs w:val="24"/>
        </w:rPr>
        <w:footnoteReference w:id="1"/>
      </w:r>
      <w:r w:rsidR="00E04C0B" w:rsidRPr="006544FD">
        <w:rPr>
          <w:rFonts w:ascii="Garamond" w:hAnsi="Garamond" w:cs="Times New Roman"/>
          <w:sz w:val="24"/>
          <w:szCs w:val="24"/>
        </w:rPr>
        <w:t>)</w:t>
      </w:r>
      <w:r w:rsidR="003929D1" w:rsidRPr="006544FD">
        <w:rPr>
          <w:rFonts w:ascii="Garamond" w:hAnsi="Garamond" w:cs="Times New Roman"/>
          <w:sz w:val="24"/>
          <w:szCs w:val="24"/>
        </w:rPr>
        <w:t xml:space="preserve">, </w:t>
      </w:r>
      <w:r>
        <w:rPr>
          <w:rFonts w:ascii="Garamond" w:hAnsi="Garamond" w:cs="Times New Roman"/>
          <w:sz w:val="24"/>
          <w:szCs w:val="24"/>
        </w:rPr>
        <w:t xml:space="preserve">y la economía mundial en general. </w:t>
      </w:r>
      <w:r w:rsidR="003929D1" w:rsidRPr="006544FD">
        <w:rPr>
          <w:rFonts w:ascii="Garamond" w:hAnsi="Garamond" w:cs="Times New Roman"/>
          <w:sz w:val="24"/>
          <w:szCs w:val="24"/>
        </w:rPr>
        <w:t xml:space="preserve">Europa, estrechamente unida a los mercados americanos, comenzó a experimentar signos de recesión rápidamente y, a finales de 2009 y principios de 2010 la crisis hundió la economía del Viejo Continente. </w:t>
      </w:r>
    </w:p>
    <w:p w14:paraId="18EF8358" w14:textId="22122566" w:rsidR="003929D1" w:rsidRPr="006544FD" w:rsidRDefault="00102E8B" w:rsidP="00AC1B36">
      <w:pPr>
        <w:spacing w:before="240" w:line="300" w:lineRule="auto"/>
        <w:rPr>
          <w:rFonts w:ascii="Garamond" w:hAnsi="Garamond" w:cs="Times New Roman"/>
          <w:sz w:val="24"/>
          <w:szCs w:val="24"/>
        </w:rPr>
      </w:pPr>
      <w:r w:rsidRPr="006544FD">
        <w:rPr>
          <w:rFonts w:ascii="Garamond" w:hAnsi="Garamond" w:cs="Times New Roman"/>
          <w:sz w:val="24"/>
          <w:szCs w:val="24"/>
        </w:rPr>
        <w:t xml:space="preserve">Con la integración europea y la entrada de España en la Comunidad Económica Europea (CEE, actualmente UE), </w:t>
      </w:r>
      <w:r w:rsidR="00C66B9E" w:rsidRPr="006544FD">
        <w:rPr>
          <w:rFonts w:ascii="Garamond" w:hAnsi="Garamond" w:cs="Times New Roman"/>
          <w:sz w:val="24"/>
          <w:szCs w:val="24"/>
        </w:rPr>
        <w:t>se abría en el horizonte de España un marco expansivo de oportunidades y actividades económicas que atrajo un fuerte flujo de capitales, lo que supuso un incremento del PIB y del empleo. Inherente</w:t>
      </w:r>
      <w:r w:rsidR="00657259">
        <w:rPr>
          <w:rFonts w:ascii="Garamond" w:hAnsi="Garamond" w:cs="Times New Roman"/>
          <w:sz w:val="24"/>
          <w:szCs w:val="24"/>
        </w:rPr>
        <w:t xml:space="preserve"> </w:t>
      </w:r>
      <w:r w:rsidR="00C66B9E" w:rsidRPr="006544FD">
        <w:rPr>
          <w:rFonts w:ascii="Garamond" w:hAnsi="Garamond" w:cs="Times New Roman"/>
          <w:sz w:val="24"/>
          <w:szCs w:val="24"/>
        </w:rPr>
        <w:t>a ello, la renta per cápita nacional se multiplicó y, con ella, los flujos crediticios. Este aumento exponencial de los créditos supuso un sobrendeudamiento de empresas y economías domésticas que</w:t>
      </w:r>
      <w:r w:rsidR="00E10622" w:rsidRPr="006544FD">
        <w:rPr>
          <w:rFonts w:ascii="Garamond" w:hAnsi="Garamond" w:cs="Times New Roman"/>
          <w:sz w:val="24"/>
          <w:szCs w:val="24"/>
        </w:rPr>
        <w:t xml:space="preserve">, en especial, se concentró en el sector inmobiliario. </w:t>
      </w:r>
      <w:r w:rsidR="00657259">
        <w:rPr>
          <w:rFonts w:ascii="Garamond" w:hAnsi="Garamond" w:cs="Times New Roman"/>
          <w:sz w:val="24"/>
          <w:szCs w:val="24"/>
        </w:rPr>
        <w:t>En otras palabras</w:t>
      </w:r>
      <w:r w:rsidR="00E10622" w:rsidRPr="006544FD">
        <w:rPr>
          <w:rFonts w:ascii="Garamond" w:hAnsi="Garamond" w:cs="Times New Roman"/>
          <w:sz w:val="24"/>
          <w:szCs w:val="24"/>
        </w:rPr>
        <w:t xml:space="preserve">, el aumento de la renta supuso durante los primeros años de la década de los 2000 un aumento en la demanda de vivienda que fue financiada mayoritariamente por créditos. </w:t>
      </w:r>
    </w:p>
    <w:p w14:paraId="349133EC" w14:textId="3D48B83F" w:rsidR="00E10622" w:rsidRPr="006544FD" w:rsidRDefault="00E10622" w:rsidP="00AC1B36">
      <w:pPr>
        <w:spacing w:before="240" w:line="300" w:lineRule="auto"/>
        <w:rPr>
          <w:rFonts w:ascii="Garamond" w:hAnsi="Garamond" w:cs="Times New Roman"/>
          <w:sz w:val="24"/>
          <w:szCs w:val="24"/>
        </w:rPr>
      </w:pPr>
      <w:r w:rsidRPr="006544FD">
        <w:rPr>
          <w:rFonts w:ascii="Garamond" w:hAnsi="Garamond" w:cs="Times New Roman"/>
          <w:sz w:val="24"/>
          <w:szCs w:val="24"/>
        </w:rPr>
        <w:t xml:space="preserve">En medio de este crecimiento aparejado al </w:t>
      </w:r>
      <w:r w:rsidRPr="006544FD">
        <w:rPr>
          <w:rFonts w:ascii="Garamond" w:hAnsi="Garamond" w:cs="Times New Roman"/>
          <w:i/>
          <w:sz w:val="24"/>
          <w:szCs w:val="24"/>
        </w:rPr>
        <w:t xml:space="preserve">boom </w:t>
      </w:r>
      <w:r w:rsidRPr="006544FD">
        <w:rPr>
          <w:rFonts w:ascii="Garamond" w:hAnsi="Garamond" w:cs="Times New Roman"/>
          <w:sz w:val="24"/>
          <w:szCs w:val="24"/>
        </w:rPr>
        <w:t>del ladrillo, la crisis alcanzó a la economía española, lo que supuso un endurecimiento férreo de las condiciones de acceso al crédito</w:t>
      </w:r>
      <w:r w:rsidR="00657259">
        <w:rPr>
          <w:rFonts w:ascii="Garamond" w:hAnsi="Garamond" w:cs="Times New Roman"/>
          <w:sz w:val="24"/>
          <w:szCs w:val="24"/>
        </w:rPr>
        <w:t>. Esto</w:t>
      </w:r>
      <w:r w:rsidRPr="006544FD">
        <w:rPr>
          <w:rFonts w:ascii="Garamond" w:hAnsi="Garamond" w:cs="Times New Roman"/>
          <w:sz w:val="24"/>
          <w:szCs w:val="24"/>
        </w:rPr>
        <w:t xml:space="preserve"> condujo a un desbarajuste del mercado, expulsando </w:t>
      </w:r>
      <w:r w:rsidR="00657259">
        <w:rPr>
          <w:rFonts w:ascii="Garamond" w:hAnsi="Garamond" w:cs="Times New Roman"/>
          <w:sz w:val="24"/>
          <w:szCs w:val="24"/>
        </w:rPr>
        <w:t>-</w:t>
      </w:r>
      <w:r w:rsidRPr="006544FD">
        <w:rPr>
          <w:rFonts w:ascii="Garamond" w:hAnsi="Garamond" w:cs="Times New Roman"/>
          <w:sz w:val="24"/>
          <w:szCs w:val="24"/>
        </w:rPr>
        <w:t>del mercado</w:t>
      </w:r>
      <w:r w:rsidR="00657259">
        <w:rPr>
          <w:rFonts w:ascii="Garamond" w:hAnsi="Garamond" w:cs="Times New Roman"/>
          <w:sz w:val="24"/>
          <w:szCs w:val="24"/>
        </w:rPr>
        <w:t>-</w:t>
      </w:r>
      <w:r w:rsidRPr="006544FD">
        <w:rPr>
          <w:rFonts w:ascii="Garamond" w:hAnsi="Garamond" w:cs="Times New Roman"/>
          <w:sz w:val="24"/>
          <w:szCs w:val="24"/>
        </w:rPr>
        <w:t xml:space="preserve"> a una gran cantidad de trabajadores ligados, especialmente, al sector de la construcción. </w:t>
      </w:r>
      <w:r w:rsidR="00657259">
        <w:rPr>
          <w:rFonts w:ascii="Garamond" w:hAnsi="Garamond" w:cs="Times New Roman"/>
          <w:sz w:val="24"/>
          <w:szCs w:val="24"/>
        </w:rPr>
        <w:t>Ante este escenario de desaceleración de la economía, el Gobierno de España emprendía una</w:t>
      </w:r>
      <w:r w:rsidRPr="006544FD">
        <w:rPr>
          <w:rFonts w:ascii="Garamond" w:hAnsi="Garamond" w:cs="Times New Roman"/>
          <w:sz w:val="24"/>
          <w:szCs w:val="24"/>
        </w:rPr>
        <w:t xml:space="preserve"> política presupuestaria expansiva</w:t>
      </w:r>
      <w:r w:rsidR="00657259">
        <w:rPr>
          <w:rFonts w:ascii="Garamond" w:hAnsi="Garamond" w:cs="Times New Roman"/>
          <w:sz w:val="24"/>
          <w:szCs w:val="24"/>
        </w:rPr>
        <w:t xml:space="preserve"> que, después, pudimos comprobar como </w:t>
      </w:r>
      <w:r w:rsidRPr="006544FD">
        <w:rPr>
          <w:rFonts w:ascii="Garamond" w:hAnsi="Garamond" w:cs="Times New Roman"/>
          <w:sz w:val="24"/>
          <w:szCs w:val="24"/>
        </w:rPr>
        <w:t>insuficiente</w:t>
      </w:r>
      <w:r w:rsidR="00657259">
        <w:rPr>
          <w:rFonts w:ascii="Garamond" w:hAnsi="Garamond" w:cs="Times New Roman"/>
          <w:sz w:val="24"/>
          <w:szCs w:val="24"/>
        </w:rPr>
        <w:t>. Asimismo, esta movilización presupuestaria generó un</w:t>
      </w:r>
      <w:r w:rsidRPr="006544FD">
        <w:rPr>
          <w:rFonts w:ascii="Garamond" w:hAnsi="Garamond" w:cs="Times New Roman"/>
          <w:sz w:val="24"/>
          <w:szCs w:val="24"/>
        </w:rPr>
        <w:t xml:space="preserve"> enorme gasto público que supuso </w:t>
      </w:r>
      <w:r w:rsidR="00590C9B" w:rsidRPr="006544FD">
        <w:rPr>
          <w:rFonts w:ascii="Garamond" w:hAnsi="Garamond" w:cs="Times New Roman"/>
          <w:sz w:val="24"/>
          <w:szCs w:val="24"/>
        </w:rPr>
        <w:t xml:space="preserve">(al igual que en </w:t>
      </w:r>
      <w:r w:rsidR="00590C9B" w:rsidRPr="006544FD">
        <w:rPr>
          <w:rFonts w:ascii="Garamond" w:hAnsi="Garamond" w:cs="Times New Roman"/>
          <w:sz w:val="24"/>
          <w:szCs w:val="24"/>
        </w:rPr>
        <w:lastRenderedPageBreak/>
        <w:t xml:space="preserve">otros muchos </w:t>
      </w:r>
      <w:r w:rsidR="00657259">
        <w:rPr>
          <w:rFonts w:ascii="Garamond" w:hAnsi="Garamond" w:cs="Times New Roman"/>
          <w:sz w:val="24"/>
          <w:szCs w:val="24"/>
        </w:rPr>
        <w:t>EM</w:t>
      </w:r>
      <w:r w:rsidR="00590C9B" w:rsidRPr="006544FD">
        <w:rPr>
          <w:rFonts w:ascii="Garamond" w:hAnsi="Garamond" w:cs="Times New Roman"/>
          <w:sz w:val="24"/>
          <w:szCs w:val="24"/>
        </w:rPr>
        <w:t xml:space="preserve">) </w:t>
      </w:r>
      <w:r w:rsidR="00657259">
        <w:rPr>
          <w:rFonts w:ascii="Garamond" w:hAnsi="Garamond" w:cs="Times New Roman"/>
          <w:sz w:val="24"/>
          <w:szCs w:val="24"/>
        </w:rPr>
        <w:t>el abocamiento</w:t>
      </w:r>
      <w:r w:rsidR="00590C9B" w:rsidRPr="006544FD">
        <w:rPr>
          <w:rFonts w:ascii="Garamond" w:hAnsi="Garamond" w:cs="Times New Roman"/>
          <w:sz w:val="24"/>
          <w:szCs w:val="24"/>
        </w:rPr>
        <w:t xml:space="preserve"> a la crisis soberana de deuda y los distintos rescates que tuvieron lugar en la Unión Europea. </w:t>
      </w:r>
    </w:p>
    <w:p w14:paraId="3D5EEC87" w14:textId="193D5678" w:rsidR="00590C9B" w:rsidRPr="006544FD" w:rsidRDefault="00590C9B" w:rsidP="00AC1B36">
      <w:pPr>
        <w:spacing w:before="240" w:line="300" w:lineRule="auto"/>
        <w:rPr>
          <w:rFonts w:ascii="Garamond" w:hAnsi="Garamond" w:cs="Times New Roman"/>
          <w:sz w:val="24"/>
          <w:szCs w:val="24"/>
        </w:rPr>
      </w:pPr>
      <w:r w:rsidRPr="006544FD">
        <w:rPr>
          <w:rFonts w:ascii="Garamond" w:hAnsi="Garamond" w:cs="Times New Roman"/>
          <w:sz w:val="24"/>
          <w:szCs w:val="24"/>
        </w:rPr>
        <w:t xml:space="preserve">En el seno de este escenario, las entidades financieras vieron dispararse </w:t>
      </w:r>
      <w:r w:rsidR="00846D45" w:rsidRPr="006544FD">
        <w:rPr>
          <w:rFonts w:ascii="Garamond" w:hAnsi="Garamond" w:cs="Times New Roman"/>
          <w:sz w:val="24"/>
          <w:szCs w:val="24"/>
        </w:rPr>
        <w:t>l</w:t>
      </w:r>
      <w:r w:rsidR="006544FD" w:rsidRPr="006544FD">
        <w:rPr>
          <w:rFonts w:ascii="Garamond" w:hAnsi="Garamond" w:cs="Times New Roman"/>
          <w:sz w:val="24"/>
          <w:szCs w:val="24"/>
        </w:rPr>
        <w:t>a</w:t>
      </w:r>
      <w:r w:rsidR="00846D45" w:rsidRPr="006544FD">
        <w:rPr>
          <w:rFonts w:ascii="Garamond" w:hAnsi="Garamond" w:cs="Times New Roman"/>
          <w:sz w:val="24"/>
          <w:szCs w:val="24"/>
        </w:rPr>
        <w:t xml:space="preserve"> ratio de morosidad, </w:t>
      </w:r>
      <w:r w:rsidR="00657259">
        <w:rPr>
          <w:rFonts w:ascii="Garamond" w:hAnsi="Garamond" w:cs="Times New Roman"/>
          <w:sz w:val="24"/>
          <w:szCs w:val="24"/>
        </w:rPr>
        <w:t>a la par de un</w:t>
      </w:r>
      <w:r w:rsidR="00F46AE2" w:rsidRPr="006544FD">
        <w:rPr>
          <w:rFonts w:ascii="Garamond" w:hAnsi="Garamond" w:cs="Times New Roman"/>
          <w:sz w:val="24"/>
          <w:szCs w:val="24"/>
        </w:rPr>
        <w:t xml:space="preserve"> </w:t>
      </w:r>
      <w:proofErr w:type="spellStart"/>
      <w:r w:rsidR="00F46AE2" w:rsidRPr="006544FD">
        <w:rPr>
          <w:rFonts w:ascii="Garamond" w:hAnsi="Garamond" w:cs="Times New Roman"/>
          <w:sz w:val="24"/>
          <w:szCs w:val="24"/>
        </w:rPr>
        <w:t>desapalancamiento</w:t>
      </w:r>
      <w:proofErr w:type="spellEnd"/>
      <w:r w:rsidR="00F46AE2" w:rsidRPr="006544FD">
        <w:rPr>
          <w:rFonts w:ascii="Garamond" w:hAnsi="Garamond" w:cs="Times New Roman"/>
          <w:sz w:val="24"/>
          <w:szCs w:val="24"/>
        </w:rPr>
        <w:t xml:space="preserve"> mediante la liquidación de activos y, además, vieron </w:t>
      </w:r>
      <w:r w:rsidR="005A1E92" w:rsidRPr="006544FD">
        <w:rPr>
          <w:rFonts w:ascii="Garamond" w:hAnsi="Garamond" w:cs="Times New Roman"/>
          <w:sz w:val="24"/>
          <w:szCs w:val="24"/>
        </w:rPr>
        <w:t>aumentar la dificultad para acceder al mercado de financiación internacional</w:t>
      </w:r>
      <w:r w:rsidR="0026240B">
        <w:rPr>
          <w:rFonts w:ascii="Garamond" w:hAnsi="Garamond" w:cs="Times New Roman"/>
          <w:sz w:val="24"/>
          <w:szCs w:val="24"/>
        </w:rPr>
        <w:t xml:space="preserve">, etc. </w:t>
      </w:r>
      <w:r w:rsidR="00657259">
        <w:rPr>
          <w:rFonts w:ascii="Garamond" w:hAnsi="Garamond" w:cs="Times New Roman"/>
          <w:sz w:val="24"/>
          <w:szCs w:val="24"/>
        </w:rPr>
        <w:t xml:space="preserve">Ello, condujo </w:t>
      </w:r>
      <w:r w:rsidR="00D71E4B">
        <w:rPr>
          <w:rFonts w:ascii="Garamond" w:hAnsi="Garamond" w:cs="Times New Roman"/>
          <w:sz w:val="24"/>
          <w:szCs w:val="24"/>
        </w:rPr>
        <w:t>a</w:t>
      </w:r>
      <w:r w:rsidR="005A1E92" w:rsidRPr="006544FD">
        <w:rPr>
          <w:rFonts w:ascii="Garamond" w:hAnsi="Garamond" w:cs="Times New Roman"/>
          <w:sz w:val="24"/>
          <w:szCs w:val="24"/>
        </w:rPr>
        <w:t xml:space="preserve"> la recapitalización y saneamiento bancario que el Ejecutivo</w:t>
      </w:r>
      <w:r w:rsidR="00D71E4B">
        <w:rPr>
          <w:rFonts w:ascii="Garamond" w:hAnsi="Garamond" w:cs="Times New Roman"/>
          <w:sz w:val="24"/>
          <w:szCs w:val="24"/>
        </w:rPr>
        <w:t xml:space="preserve"> español</w:t>
      </w:r>
      <w:r w:rsidR="005A1E92" w:rsidRPr="006544FD">
        <w:rPr>
          <w:rFonts w:ascii="Garamond" w:hAnsi="Garamond" w:cs="Times New Roman"/>
          <w:sz w:val="24"/>
          <w:szCs w:val="24"/>
        </w:rPr>
        <w:t xml:space="preserve"> solicitó a la UE en 2012.</w:t>
      </w:r>
    </w:p>
    <w:p w14:paraId="52F9C4F1" w14:textId="53053F9F" w:rsidR="006B5668" w:rsidRPr="006544FD" w:rsidRDefault="006B5668" w:rsidP="00AC1B36">
      <w:pPr>
        <w:spacing w:before="240" w:line="300" w:lineRule="auto"/>
        <w:rPr>
          <w:rFonts w:ascii="Garamond" w:hAnsi="Garamond" w:cs="Times New Roman"/>
          <w:sz w:val="24"/>
          <w:szCs w:val="24"/>
        </w:rPr>
      </w:pPr>
    </w:p>
    <w:p w14:paraId="438732CF" w14:textId="5C1C9675" w:rsidR="00B62A50" w:rsidRDefault="006B5668" w:rsidP="00AC1B36">
      <w:pPr>
        <w:pStyle w:val="Prrafodelista"/>
        <w:numPr>
          <w:ilvl w:val="0"/>
          <w:numId w:val="3"/>
        </w:numPr>
        <w:spacing w:before="240" w:line="300" w:lineRule="auto"/>
        <w:contextualSpacing w:val="0"/>
        <w:rPr>
          <w:rFonts w:ascii="Garamond" w:hAnsi="Garamond" w:cs="Times New Roman"/>
          <w:b/>
          <w:sz w:val="30"/>
          <w:szCs w:val="30"/>
        </w:rPr>
      </w:pPr>
      <w:r w:rsidRPr="00153D19">
        <w:rPr>
          <w:rFonts w:ascii="Garamond" w:hAnsi="Garamond" w:cs="Times New Roman"/>
          <w:b/>
          <w:sz w:val="30"/>
          <w:szCs w:val="30"/>
        </w:rPr>
        <w:t xml:space="preserve">El </w:t>
      </w:r>
      <w:r w:rsidR="00AE6F2E">
        <w:rPr>
          <w:rFonts w:ascii="Garamond" w:hAnsi="Garamond" w:cs="Times New Roman"/>
          <w:b/>
          <w:sz w:val="30"/>
          <w:szCs w:val="30"/>
        </w:rPr>
        <w:t>M</w:t>
      </w:r>
      <w:r w:rsidRPr="00153D19">
        <w:rPr>
          <w:rFonts w:ascii="Garamond" w:hAnsi="Garamond" w:cs="Times New Roman"/>
          <w:b/>
          <w:sz w:val="30"/>
          <w:szCs w:val="30"/>
        </w:rPr>
        <w:t xml:space="preserve">arco </w:t>
      </w:r>
      <w:r w:rsidR="00AE6F2E">
        <w:rPr>
          <w:rFonts w:ascii="Garamond" w:hAnsi="Garamond" w:cs="Times New Roman"/>
          <w:b/>
          <w:sz w:val="30"/>
          <w:szCs w:val="30"/>
        </w:rPr>
        <w:t>R</w:t>
      </w:r>
      <w:r w:rsidRPr="00153D19">
        <w:rPr>
          <w:rFonts w:ascii="Garamond" w:hAnsi="Garamond" w:cs="Times New Roman"/>
          <w:b/>
          <w:sz w:val="30"/>
          <w:szCs w:val="30"/>
        </w:rPr>
        <w:t xml:space="preserve">egulatorio </w:t>
      </w:r>
      <w:r w:rsidR="00AE6F2E">
        <w:rPr>
          <w:rFonts w:ascii="Garamond" w:hAnsi="Garamond" w:cs="Times New Roman"/>
          <w:b/>
          <w:sz w:val="30"/>
          <w:szCs w:val="30"/>
        </w:rPr>
        <w:t>P</w:t>
      </w:r>
      <w:r w:rsidRPr="00153D19">
        <w:rPr>
          <w:rFonts w:ascii="Garamond" w:hAnsi="Garamond" w:cs="Times New Roman"/>
          <w:b/>
          <w:sz w:val="30"/>
          <w:szCs w:val="30"/>
        </w:rPr>
        <w:t xml:space="preserve">recrisis. La entrada en la UE </w:t>
      </w:r>
      <w:r w:rsidR="00B62A50" w:rsidRPr="00153D19">
        <w:rPr>
          <w:rFonts w:ascii="Garamond" w:hAnsi="Garamond" w:cs="Times New Roman"/>
          <w:b/>
          <w:sz w:val="30"/>
          <w:szCs w:val="30"/>
        </w:rPr>
        <w:t xml:space="preserve">y los </w:t>
      </w:r>
      <w:r w:rsidR="00AE6F2E">
        <w:rPr>
          <w:rFonts w:ascii="Garamond" w:hAnsi="Garamond" w:cs="Times New Roman"/>
          <w:b/>
          <w:sz w:val="30"/>
          <w:szCs w:val="30"/>
        </w:rPr>
        <w:t>A</w:t>
      </w:r>
      <w:r w:rsidR="00B62A50" w:rsidRPr="00153D19">
        <w:rPr>
          <w:rFonts w:ascii="Garamond" w:hAnsi="Garamond" w:cs="Times New Roman"/>
          <w:b/>
          <w:sz w:val="30"/>
          <w:szCs w:val="30"/>
        </w:rPr>
        <w:t>cuerdos del Comité de Supervisión Bancaria de Basilea</w:t>
      </w:r>
    </w:p>
    <w:p w14:paraId="460547A9" w14:textId="77777777" w:rsidR="00153D19" w:rsidRPr="004776A5" w:rsidRDefault="00153D19" w:rsidP="00AC1B36">
      <w:pPr>
        <w:pStyle w:val="Prrafodelista"/>
        <w:spacing w:before="240" w:line="300" w:lineRule="auto"/>
        <w:contextualSpacing w:val="0"/>
        <w:rPr>
          <w:rFonts w:ascii="Garamond" w:hAnsi="Garamond" w:cs="Times New Roman"/>
          <w:b/>
          <w:szCs w:val="30"/>
        </w:rPr>
      </w:pPr>
    </w:p>
    <w:p w14:paraId="0B668A16" w14:textId="539AFD1A" w:rsidR="006B5668" w:rsidRPr="00153D19" w:rsidRDefault="00B62A50" w:rsidP="00AC1B36">
      <w:pPr>
        <w:pStyle w:val="Prrafodelista"/>
        <w:numPr>
          <w:ilvl w:val="0"/>
          <w:numId w:val="5"/>
        </w:numPr>
        <w:spacing w:before="240" w:line="300" w:lineRule="auto"/>
        <w:contextualSpacing w:val="0"/>
        <w:rPr>
          <w:rFonts w:ascii="Garamond" w:hAnsi="Garamond" w:cs="Times New Roman"/>
          <w:sz w:val="28"/>
          <w:szCs w:val="28"/>
        </w:rPr>
      </w:pPr>
      <w:r w:rsidRPr="00153D19">
        <w:rPr>
          <w:rFonts w:ascii="Garamond" w:hAnsi="Garamond" w:cs="Times New Roman"/>
          <w:b/>
          <w:sz w:val="28"/>
          <w:szCs w:val="28"/>
        </w:rPr>
        <w:t xml:space="preserve"> </w:t>
      </w:r>
      <w:r w:rsidRPr="00153D19">
        <w:rPr>
          <w:rFonts w:ascii="Garamond" w:hAnsi="Garamond" w:cs="Times New Roman"/>
          <w:sz w:val="28"/>
          <w:szCs w:val="28"/>
        </w:rPr>
        <w:t>De Bretton Woods a la Unión Económica y Monetaria</w:t>
      </w:r>
    </w:p>
    <w:p w14:paraId="1A0B9BE9" w14:textId="77777777" w:rsidR="00A974C1" w:rsidRDefault="00A71A25" w:rsidP="00AC1B36">
      <w:pPr>
        <w:spacing w:before="240" w:line="300" w:lineRule="auto"/>
        <w:rPr>
          <w:rFonts w:ascii="Garamond" w:hAnsi="Garamond" w:cs="Times New Roman"/>
          <w:sz w:val="24"/>
          <w:szCs w:val="24"/>
        </w:rPr>
      </w:pPr>
      <w:r w:rsidRPr="006544FD">
        <w:rPr>
          <w:rFonts w:ascii="Garamond" w:hAnsi="Garamond" w:cs="Times New Roman"/>
          <w:sz w:val="24"/>
          <w:szCs w:val="24"/>
        </w:rPr>
        <w:t>Con los Acuerdos de Bretton Woods</w:t>
      </w:r>
      <w:r w:rsidRPr="006544FD">
        <w:rPr>
          <w:rStyle w:val="Refdenotaalpie"/>
          <w:rFonts w:ascii="Garamond" w:hAnsi="Garamond" w:cs="Times New Roman"/>
          <w:sz w:val="24"/>
          <w:szCs w:val="24"/>
        </w:rPr>
        <w:footnoteReference w:id="2"/>
      </w:r>
      <w:r w:rsidRPr="006544FD">
        <w:rPr>
          <w:rFonts w:ascii="Garamond" w:hAnsi="Garamond" w:cs="Times New Roman"/>
          <w:sz w:val="24"/>
          <w:szCs w:val="24"/>
        </w:rPr>
        <w:t xml:space="preserve"> se </w:t>
      </w:r>
      <w:r w:rsidR="00AE6F2E">
        <w:rPr>
          <w:rFonts w:ascii="Garamond" w:hAnsi="Garamond" w:cs="Times New Roman"/>
          <w:sz w:val="24"/>
          <w:szCs w:val="24"/>
        </w:rPr>
        <w:t>convenían</w:t>
      </w:r>
      <w:r w:rsidRPr="006544FD">
        <w:rPr>
          <w:rFonts w:ascii="Garamond" w:hAnsi="Garamond" w:cs="Times New Roman"/>
          <w:sz w:val="24"/>
          <w:szCs w:val="24"/>
        </w:rPr>
        <w:t xml:space="preserve"> los primeros pasos sobre regulación financiera y monetaria internacional.</w:t>
      </w:r>
      <w:r w:rsidR="0027426A">
        <w:rPr>
          <w:rFonts w:ascii="Garamond" w:hAnsi="Garamond" w:cs="Times New Roman"/>
          <w:sz w:val="24"/>
          <w:szCs w:val="24"/>
        </w:rPr>
        <w:t xml:space="preserve"> Con la firma de los cuarenta y cuatro países asistentes,</w:t>
      </w:r>
      <w:r w:rsidR="0027426A">
        <w:rPr>
          <w:rStyle w:val="Refdenotaalpie"/>
          <w:rFonts w:ascii="Garamond" w:hAnsi="Garamond" w:cs="Times New Roman"/>
          <w:sz w:val="24"/>
          <w:szCs w:val="24"/>
        </w:rPr>
        <w:footnoteReference w:id="3"/>
      </w:r>
      <w:r w:rsidR="0027426A">
        <w:rPr>
          <w:rFonts w:ascii="Garamond" w:hAnsi="Garamond" w:cs="Times New Roman"/>
          <w:sz w:val="24"/>
          <w:szCs w:val="24"/>
        </w:rPr>
        <w:t xml:space="preserve"> se creaban </w:t>
      </w:r>
      <w:r w:rsidR="009B100B">
        <w:rPr>
          <w:rFonts w:ascii="Garamond" w:hAnsi="Garamond" w:cs="Times New Roman"/>
          <w:sz w:val="24"/>
          <w:szCs w:val="24"/>
        </w:rPr>
        <w:t>el Fondo Monetario Internacional y el Banco Internacional para la Reconstrucción y el Desarrollo -renombrado en la actualidad como Banco Mundial-. Así, el comercio internacional tomaba impulso hacia la estabilidad, las relaciones permanentes y un entendimiento mutuo.</w:t>
      </w:r>
      <w:r w:rsidRPr="006544FD">
        <w:rPr>
          <w:rFonts w:ascii="Garamond" w:hAnsi="Garamond" w:cs="Times New Roman"/>
          <w:sz w:val="24"/>
          <w:szCs w:val="24"/>
        </w:rPr>
        <w:t xml:space="preserve"> Sin embargo, nuestro país</w:t>
      </w:r>
      <w:r w:rsidR="00C6505A">
        <w:rPr>
          <w:rFonts w:ascii="Garamond" w:hAnsi="Garamond" w:cs="Times New Roman"/>
          <w:sz w:val="24"/>
          <w:szCs w:val="24"/>
        </w:rPr>
        <w:t xml:space="preserve"> (no firmante de Bretton Woods)</w:t>
      </w:r>
      <w:r w:rsidRPr="006544FD">
        <w:rPr>
          <w:rFonts w:ascii="Garamond" w:hAnsi="Garamond" w:cs="Times New Roman"/>
          <w:sz w:val="24"/>
          <w:szCs w:val="24"/>
        </w:rPr>
        <w:t xml:space="preserve"> experimentaría una adopción más intensa de normativa económica con </w:t>
      </w:r>
      <w:r w:rsidR="00C6505A">
        <w:rPr>
          <w:rFonts w:ascii="Garamond" w:hAnsi="Garamond" w:cs="Times New Roman"/>
          <w:sz w:val="24"/>
          <w:szCs w:val="24"/>
        </w:rPr>
        <w:t>su</w:t>
      </w:r>
      <w:r w:rsidR="00FA7071" w:rsidRPr="006544FD">
        <w:rPr>
          <w:rFonts w:ascii="Garamond" w:hAnsi="Garamond" w:cs="Times New Roman"/>
          <w:sz w:val="24"/>
          <w:szCs w:val="24"/>
        </w:rPr>
        <w:t xml:space="preserve"> entrada en la Comunidad Económica Europea</w:t>
      </w:r>
      <w:r w:rsidRPr="006544FD">
        <w:rPr>
          <w:rFonts w:ascii="Garamond" w:hAnsi="Garamond" w:cs="Times New Roman"/>
          <w:sz w:val="24"/>
          <w:szCs w:val="24"/>
        </w:rPr>
        <w:t xml:space="preserve">, lo que supuso </w:t>
      </w:r>
      <w:r w:rsidR="00FA7071" w:rsidRPr="006544FD">
        <w:rPr>
          <w:rFonts w:ascii="Garamond" w:hAnsi="Garamond" w:cs="Times New Roman"/>
          <w:sz w:val="24"/>
          <w:szCs w:val="24"/>
        </w:rPr>
        <w:t>la adopción del marco normativo de la organización</w:t>
      </w:r>
      <w:r w:rsidR="00C6505A">
        <w:rPr>
          <w:rFonts w:ascii="Garamond" w:hAnsi="Garamond" w:cs="Times New Roman"/>
          <w:sz w:val="24"/>
          <w:szCs w:val="24"/>
        </w:rPr>
        <w:t>. Así como</w:t>
      </w:r>
      <w:r w:rsidR="00FA7071" w:rsidRPr="006544FD">
        <w:rPr>
          <w:rFonts w:ascii="Garamond" w:hAnsi="Garamond" w:cs="Times New Roman"/>
          <w:sz w:val="24"/>
          <w:szCs w:val="24"/>
        </w:rPr>
        <w:t xml:space="preserve"> con las sucesivas reformas de los tratados fundacionales (hoy, TUE y TFUE), la primacía del derecho de la UE y la conformación del Mercado Común (incluida la libertad de capitales). </w:t>
      </w:r>
    </w:p>
    <w:p w14:paraId="079C3E4D" w14:textId="3DB26DF6" w:rsidR="00A71A25" w:rsidRPr="006544FD" w:rsidRDefault="00FA7071" w:rsidP="00AC1B36">
      <w:pPr>
        <w:spacing w:before="240" w:line="300" w:lineRule="auto"/>
        <w:rPr>
          <w:rFonts w:ascii="Garamond" w:hAnsi="Garamond" w:cs="Times New Roman"/>
          <w:sz w:val="24"/>
          <w:szCs w:val="24"/>
        </w:rPr>
      </w:pPr>
      <w:r w:rsidRPr="006544FD">
        <w:rPr>
          <w:rFonts w:ascii="Garamond" w:hAnsi="Garamond" w:cs="Times New Roman"/>
          <w:sz w:val="24"/>
          <w:szCs w:val="24"/>
        </w:rPr>
        <w:t xml:space="preserve">La Unión Europea se </w:t>
      </w:r>
      <w:r w:rsidR="006447C9" w:rsidRPr="006544FD">
        <w:rPr>
          <w:rFonts w:ascii="Garamond" w:hAnsi="Garamond" w:cs="Times New Roman"/>
          <w:sz w:val="24"/>
          <w:szCs w:val="24"/>
        </w:rPr>
        <w:t>configura</w:t>
      </w:r>
      <w:r w:rsidRPr="006544FD">
        <w:rPr>
          <w:rFonts w:ascii="Garamond" w:hAnsi="Garamond" w:cs="Times New Roman"/>
          <w:sz w:val="24"/>
          <w:szCs w:val="24"/>
        </w:rPr>
        <w:t xml:space="preserve"> así</w:t>
      </w:r>
      <w:r w:rsidR="006447C9" w:rsidRPr="006544FD">
        <w:rPr>
          <w:rFonts w:ascii="Garamond" w:hAnsi="Garamond" w:cs="Times New Roman"/>
          <w:sz w:val="24"/>
          <w:szCs w:val="24"/>
        </w:rPr>
        <w:t>,</w:t>
      </w:r>
      <w:r w:rsidRPr="006544FD">
        <w:rPr>
          <w:rFonts w:ascii="Garamond" w:hAnsi="Garamond" w:cs="Times New Roman"/>
          <w:sz w:val="24"/>
          <w:szCs w:val="24"/>
        </w:rPr>
        <w:t xml:space="preserve"> como una organización con tres pilares: la Unión Política, la Unión </w:t>
      </w:r>
      <w:r w:rsidR="00A71A25" w:rsidRPr="006544FD">
        <w:rPr>
          <w:rFonts w:ascii="Garamond" w:hAnsi="Garamond" w:cs="Times New Roman"/>
          <w:sz w:val="24"/>
          <w:szCs w:val="24"/>
        </w:rPr>
        <w:t>Económica y Monetaria (UEM)</w:t>
      </w:r>
      <w:r w:rsidRPr="006544FD">
        <w:rPr>
          <w:rFonts w:ascii="Garamond" w:hAnsi="Garamond" w:cs="Times New Roman"/>
          <w:sz w:val="24"/>
          <w:szCs w:val="24"/>
        </w:rPr>
        <w:t xml:space="preserve"> y la Unión Social (éste último pilar en desarrollo incipiente aún). </w:t>
      </w:r>
      <w:r w:rsidR="00A71A25" w:rsidRPr="006544FD">
        <w:rPr>
          <w:rFonts w:ascii="Garamond" w:hAnsi="Garamond" w:cs="Times New Roman"/>
          <w:sz w:val="24"/>
          <w:szCs w:val="24"/>
        </w:rPr>
        <w:t xml:space="preserve">La Unión Bancaria supone la integración económica completa de los Estados Miembro, reforzando así la denominada Unión Económica y Monetaria preexistente hasta la crisis financiera. </w:t>
      </w:r>
      <w:r w:rsidR="00465B37">
        <w:rPr>
          <w:rFonts w:ascii="Garamond" w:hAnsi="Garamond" w:cs="Times New Roman"/>
          <w:sz w:val="24"/>
          <w:szCs w:val="24"/>
        </w:rPr>
        <w:t xml:space="preserve"> </w:t>
      </w:r>
    </w:p>
    <w:p w14:paraId="076468D3" w14:textId="1D320818" w:rsidR="00A71A25" w:rsidRPr="006544FD" w:rsidRDefault="00A71A25" w:rsidP="00AC1B36">
      <w:pPr>
        <w:spacing w:before="240" w:line="300" w:lineRule="auto"/>
        <w:rPr>
          <w:rFonts w:ascii="Garamond" w:hAnsi="Garamond" w:cs="Times New Roman"/>
          <w:sz w:val="24"/>
          <w:szCs w:val="24"/>
        </w:rPr>
      </w:pPr>
      <w:r w:rsidRPr="006544FD">
        <w:rPr>
          <w:rFonts w:ascii="Garamond" w:hAnsi="Garamond" w:cs="Times New Roman"/>
          <w:sz w:val="24"/>
          <w:szCs w:val="24"/>
        </w:rPr>
        <w:lastRenderedPageBreak/>
        <w:t xml:space="preserve">Este desarrollo que comenzara con el GATT y, regionalmente en Europa, con la construcción de la UEM, </w:t>
      </w:r>
      <w:r w:rsidR="00EF6635">
        <w:rPr>
          <w:rFonts w:ascii="Garamond" w:hAnsi="Garamond" w:cs="Times New Roman"/>
          <w:sz w:val="24"/>
          <w:szCs w:val="24"/>
        </w:rPr>
        <w:t>implicó la producción</w:t>
      </w:r>
      <w:r w:rsidRPr="006544FD">
        <w:rPr>
          <w:rFonts w:ascii="Garamond" w:hAnsi="Garamond" w:cs="Times New Roman"/>
          <w:sz w:val="24"/>
          <w:szCs w:val="24"/>
        </w:rPr>
        <w:t xml:space="preserve"> de regulación internacional durante los años de liberalización y expansión del sector financiero. Bajo la denominación de Basilea II </w:t>
      </w:r>
      <w:r w:rsidR="008231EF" w:rsidRPr="006544FD">
        <w:rPr>
          <w:rFonts w:ascii="Garamond" w:hAnsi="Garamond" w:cs="Times New Roman"/>
          <w:sz w:val="24"/>
          <w:szCs w:val="24"/>
        </w:rPr>
        <w:t>-</w:t>
      </w:r>
      <w:r w:rsidR="008C65F6" w:rsidRPr="006544FD">
        <w:rPr>
          <w:rFonts w:ascii="Garamond" w:hAnsi="Garamond" w:cs="Times New Roman"/>
          <w:sz w:val="24"/>
          <w:szCs w:val="24"/>
        </w:rPr>
        <w:t>y antes Basilea I</w:t>
      </w:r>
      <w:r w:rsidR="008231EF" w:rsidRPr="006544FD">
        <w:rPr>
          <w:rFonts w:ascii="Garamond" w:hAnsi="Garamond" w:cs="Times New Roman"/>
          <w:sz w:val="24"/>
          <w:szCs w:val="24"/>
        </w:rPr>
        <w:t>-</w:t>
      </w:r>
      <w:r w:rsidR="008C65F6" w:rsidRPr="006544FD">
        <w:rPr>
          <w:rFonts w:ascii="Garamond" w:hAnsi="Garamond" w:cs="Times New Roman"/>
          <w:sz w:val="24"/>
          <w:szCs w:val="24"/>
        </w:rPr>
        <w:t xml:space="preserve"> </w:t>
      </w:r>
      <w:r w:rsidRPr="006544FD">
        <w:rPr>
          <w:rFonts w:ascii="Garamond" w:hAnsi="Garamond" w:cs="Times New Roman"/>
          <w:sz w:val="24"/>
          <w:szCs w:val="24"/>
        </w:rPr>
        <w:t>se establecieron requisitos de</w:t>
      </w:r>
      <w:r w:rsidR="0051156F" w:rsidRPr="006544FD">
        <w:rPr>
          <w:rFonts w:ascii="Garamond" w:hAnsi="Garamond" w:cs="Times New Roman"/>
          <w:sz w:val="24"/>
          <w:szCs w:val="24"/>
        </w:rPr>
        <w:t xml:space="preserve"> capital, supervisión y transparencia, aunque si bien de </w:t>
      </w:r>
      <w:r w:rsidR="008231EF" w:rsidRPr="006544FD">
        <w:rPr>
          <w:rFonts w:ascii="Garamond" w:hAnsi="Garamond" w:cs="Times New Roman"/>
          <w:sz w:val="24"/>
          <w:szCs w:val="24"/>
        </w:rPr>
        <w:t>una forma</w:t>
      </w:r>
      <w:r w:rsidR="0051156F" w:rsidRPr="006544FD">
        <w:rPr>
          <w:rFonts w:ascii="Garamond" w:hAnsi="Garamond" w:cs="Times New Roman"/>
          <w:sz w:val="24"/>
          <w:szCs w:val="24"/>
        </w:rPr>
        <w:t xml:space="preserve"> flexible. Basilea II permitía un amplio margen de libertad a la hora de adoptar los modelos de control de riesgo interno a las entidades. </w:t>
      </w:r>
    </w:p>
    <w:p w14:paraId="1DEA4296" w14:textId="612B0A11" w:rsidR="006D1454" w:rsidRPr="006544FD" w:rsidRDefault="008231EF" w:rsidP="00AC1B36">
      <w:pPr>
        <w:spacing w:before="240" w:line="300" w:lineRule="auto"/>
        <w:rPr>
          <w:rFonts w:ascii="Garamond" w:hAnsi="Garamond" w:cs="Times New Roman"/>
          <w:sz w:val="24"/>
          <w:szCs w:val="24"/>
        </w:rPr>
      </w:pPr>
      <w:r w:rsidRPr="006544FD">
        <w:rPr>
          <w:rFonts w:ascii="Garamond" w:hAnsi="Garamond" w:cs="Times New Roman"/>
          <w:sz w:val="24"/>
          <w:szCs w:val="24"/>
        </w:rPr>
        <w:t xml:space="preserve">Junto con las reformas de Basilea y los estándares que imponía, la propia Unión Europea llevó a cabo una serie de reformas en su arquetipo institucional que venían a implementarse conjuntamente a Basilea III. En este sentido, comenzaron a surgir diversos organismos con atribuciones supervisoras y de gestión del riesgo en la actividad financiera. Por un lado, se implementaron mejoras regulatorias con sistemas de </w:t>
      </w:r>
      <w:proofErr w:type="spellStart"/>
      <w:r w:rsidRPr="006544FD">
        <w:rPr>
          <w:rFonts w:ascii="Garamond" w:hAnsi="Garamond" w:cs="Times New Roman"/>
          <w:i/>
          <w:sz w:val="24"/>
          <w:szCs w:val="24"/>
        </w:rPr>
        <w:t>Six</w:t>
      </w:r>
      <w:proofErr w:type="spellEnd"/>
      <w:r w:rsidRPr="006544FD">
        <w:rPr>
          <w:rFonts w:ascii="Garamond" w:hAnsi="Garamond" w:cs="Times New Roman"/>
          <w:i/>
          <w:sz w:val="24"/>
          <w:szCs w:val="24"/>
        </w:rPr>
        <w:t xml:space="preserve">-Pack </w:t>
      </w:r>
      <w:r w:rsidRPr="006544FD">
        <w:rPr>
          <w:rFonts w:ascii="Garamond" w:hAnsi="Garamond" w:cs="Times New Roman"/>
          <w:sz w:val="24"/>
          <w:szCs w:val="24"/>
        </w:rPr>
        <w:t xml:space="preserve">y </w:t>
      </w:r>
      <w:proofErr w:type="spellStart"/>
      <w:r w:rsidRPr="006544FD">
        <w:rPr>
          <w:rFonts w:ascii="Garamond" w:hAnsi="Garamond" w:cs="Times New Roman"/>
          <w:i/>
          <w:sz w:val="24"/>
          <w:szCs w:val="24"/>
        </w:rPr>
        <w:t>Two</w:t>
      </w:r>
      <w:proofErr w:type="spellEnd"/>
      <w:r w:rsidRPr="006544FD">
        <w:rPr>
          <w:rFonts w:ascii="Garamond" w:hAnsi="Garamond" w:cs="Times New Roman"/>
          <w:i/>
          <w:sz w:val="24"/>
          <w:szCs w:val="24"/>
        </w:rPr>
        <w:t xml:space="preserve">-Pack </w:t>
      </w:r>
      <w:r w:rsidRPr="006544FD">
        <w:rPr>
          <w:rFonts w:ascii="Garamond" w:hAnsi="Garamond" w:cs="Times New Roman"/>
          <w:sz w:val="24"/>
          <w:szCs w:val="24"/>
        </w:rPr>
        <w:t>de importante contenido fiscal</w:t>
      </w:r>
      <w:r w:rsidR="00E404FC" w:rsidRPr="006544FD">
        <w:rPr>
          <w:rFonts w:ascii="Garamond" w:hAnsi="Garamond" w:cs="Times New Roman"/>
          <w:sz w:val="24"/>
          <w:szCs w:val="24"/>
        </w:rPr>
        <w:t xml:space="preserve"> y de prevención de desequilibrios macroeconómicos. Entre los organismos creados destacaban el Mecanismo Europeo de Estabilidad (MEDE), el Sistema Europeo de Supervisión Financiera (SESF, creado a partir del Informe </w:t>
      </w:r>
      <w:proofErr w:type="spellStart"/>
      <w:r w:rsidR="00E404FC" w:rsidRPr="006544FD">
        <w:rPr>
          <w:rFonts w:ascii="Garamond" w:hAnsi="Garamond" w:cs="Times New Roman"/>
          <w:sz w:val="24"/>
          <w:szCs w:val="24"/>
        </w:rPr>
        <w:t>Larosière</w:t>
      </w:r>
      <w:proofErr w:type="spellEnd"/>
      <w:r w:rsidR="00E404FC" w:rsidRPr="006544FD">
        <w:rPr>
          <w:rFonts w:ascii="Garamond" w:hAnsi="Garamond" w:cs="Times New Roman"/>
          <w:sz w:val="24"/>
          <w:szCs w:val="24"/>
        </w:rPr>
        <w:t>)</w:t>
      </w:r>
      <w:r w:rsidR="00E04C0B" w:rsidRPr="006544FD">
        <w:rPr>
          <w:rFonts w:ascii="Garamond" w:hAnsi="Garamond" w:cs="Times New Roman"/>
          <w:sz w:val="24"/>
          <w:szCs w:val="24"/>
        </w:rPr>
        <w:t>.</w:t>
      </w:r>
      <w:r w:rsidR="00E404FC" w:rsidRPr="006544FD">
        <w:rPr>
          <w:rFonts w:ascii="Garamond" w:hAnsi="Garamond" w:cs="Times New Roman"/>
          <w:sz w:val="24"/>
          <w:szCs w:val="24"/>
        </w:rPr>
        <w:t xml:space="preserve"> El primero, el MEDE, conformó un fondo de 700.000 millones de los cuáles saldrían ayudas para España, Chipre y Grecia. Paralelamente, el SESF integraba bajo su organigrama interno a otras tres autoridades, éstas de supervisión </w:t>
      </w:r>
      <w:proofErr w:type="spellStart"/>
      <w:r w:rsidR="00E404FC" w:rsidRPr="006544FD">
        <w:rPr>
          <w:rFonts w:ascii="Garamond" w:hAnsi="Garamond" w:cs="Times New Roman"/>
          <w:sz w:val="24"/>
          <w:szCs w:val="24"/>
        </w:rPr>
        <w:t>microprudencial</w:t>
      </w:r>
      <w:proofErr w:type="spellEnd"/>
      <w:r w:rsidR="00E404FC" w:rsidRPr="006544FD">
        <w:rPr>
          <w:rFonts w:ascii="Garamond" w:hAnsi="Garamond" w:cs="Times New Roman"/>
          <w:sz w:val="24"/>
          <w:szCs w:val="24"/>
        </w:rPr>
        <w:t xml:space="preserve">: la EBA, la ESMA y la EIOPA. Asimismo, se constituía la autoridad de supervisión </w:t>
      </w:r>
      <w:proofErr w:type="spellStart"/>
      <w:r w:rsidR="00E404FC" w:rsidRPr="006544FD">
        <w:rPr>
          <w:rFonts w:ascii="Garamond" w:hAnsi="Garamond" w:cs="Times New Roman"/>
          <w:sz w:val="24"/>
          <w:szCs w:val="24"/>
        </w:rPr>
        <w:t>macroprudencial</w:t>
      </w:r>
      <w:proofErr w:type="spellEnd"/>
      <w:r w:rsidR="00E404FC" w:rsidRPr="006544FD">
        <w:rPr>
          <w:rFonts w:ascii="Garamond" w:hAnsi="Garamond" w:cs="Times New Roman"/>
          <w:sz w:val="24"/>
          <w:szCs w:val="24"/>
        </w:rPr>
        <w:t>, la Junta Europea de Riesgo Sistémico</w:t>
      </w:r>
      <w:r w:rsidR="00E75864" w:rsidRPr="006544FD">
        <w:rPr>
          <w:rFonts w:ascii="Garamond" w:hAnsi="Garamond" w:cs="Times New Roman"/>
          <w:sz w:val="24"/>
          <w:szCs w:val="24"/>
        </w:rPr>
        <w:t xml:space="preserve"> (ESRB).</w:t>
      </w:r>
      <w:r w:rsidR="00C20FB9" w:rsidRPr="006544FD">
        <w:rPr>
          <w:rFonts w:ascii="Garamond" w:hAnsi="Garamond" w:cs="Times New Roman"/>
          <w:sz w:val="24"/>
          <w:szCs w:val="24"/>
        </w:rPr>
        <w:t xml:space="preserve"> </w:t>
      </w:r>
      <w:r w:rsidR="006D1454" w:rsidRPr="006544FD">
        <w:rPr>
          <w:rFonts w:ascii="Garamond" w:hAnsi="Garamond" w:cs="Times New Roman"/>
          <w:sz w:val="24"/>
          <w:szCs w:val="24"/>
        </w:rPr>
        <w:t xml:space="preserve">La entrada en funcionamiento de </w:t>
      </w:r>
      <w:r w:rsidR="006D1454">
        <w:rPr>
          <w:rFonts w:ascii="Garamond" w:hAnsi="Garamond" w:cs="Times New Roman"/>
          <w:sz w:val="24"/>
          <w:szCs w:val="24"/>
        </w:rPr>
        <w:t>estos</w:t>
      </w:r>
      <w:r w:rsidR="006D1454" w:rsidRPr="006544FD">
        <w:rPr>
          <w:rFonts w:ascii="Garamond" w:hAnsi="Garamond" w:cs="Times New Roman"/>
          <w:sz w:val="24"/>
          <w:szCs w:val="24"/>
        </w:rPr>
        <w:t xml:space="preserve"> órganos</w:t>
      </w:r>
      <w:r w:rsidR="006D1454">
        <w:rPr>
          <w:rFonts w:ascii="Garamond" w:hAnsi="Garamond" w:cs="Times New Roman"/>
          <w:sz w:val="24"/>
          <w:szCs w:val="24"/>
        </w:rPr>
        <w:t xml:space="preserve"> tiene lugar, </w:t>
      </w:r>
      <w:r w:rsidR="006D1454" w:rsidRPr="006544FD">
        <w:rPr>
          <w:rFonts w:ascii="Garamond" w:hAnsi="Garamond" w:cs="Times New Roman"/>
          <w:sz w:val="24"/>
          <w:szCs w:val="24"/>
        </w:rPr>
        <w:t>en general, a partir de 201</w:t>
      </w:r>
      <w:r w:rsidR="0026240B">
        <w:rPr>
          <w:rFonts w:ascii="Garamond" w:hAnsi="Garamond" w:cs="Times New Roman"/>
          <w:sz w:val="24"/>
          <w:szCs w:val="24"/>
        </w:rPr>
        <w:t>1</w:t>
      </w:r>
      <w:r w:rsidR="006D1454">
        <w:rPr>
          <w:rFonts w:ascii="Garamond" w:hAnsi="Garamond" w:cs="Times New Roman"/>
          <w:sz w:val="24"/>
          <w:szCs w:val="24"/>
        </w:rPr>
        <w:t>, coincidiendo</w:t>
      </w:r>
      <w:r w:rsidR="006D1454" w:rsidRPr="006544FD">
        <w:rPr>
          <w:rFonts w:ascii="Garamond" w:hAnsi="Garamond" w:cs="Times New Roman"/>
          <w:sz w:val="24"/>
          <w:szCs w:val="24"/>
        </w:rPr>
        <w:t xml:space="preserve"> con el desarrollo de las medidas aprobadas de Basilea III. </w:t>
      </w:r>
    </w:p>
    <w:p w14:paraId="1879387E" w14:textId="5E6EF489" w:rsidR="00A444DC" w:rsidRDefault="00A444DC" w:rsidP="00AC1B36">
      <w:pPr>
        <w:spacing w:before="240" w:after="120" w:line="300" w:lineRule="auto"/>
        <w:rPr>
          <w:rFonts w:ascii="Garamond" w:hAnsi="Garamond" w:cs="Times New Roman"/>
          <w:sz w:val="24"/>
          <w:szCs w:val="24"/>
        </w:rPr>
      </w:pPr>
      <w:r>
        <w:rPr>
          <w:rFonts w:ascii="Garamond" w:hAnsi="Garamond" w:cs="Times New Roman"/>
          <w:sz w:val="24"/>
          <w:szCs w:val="24"/>
        </w:rPr>
        <w:t xml:space="preserve">A este respecto, el </w:t>
      </w:r>
      <w:r w:rsidRPr="006544FD">
        <w:rPr>
          <w:rFonts w:ascii="Garamond" w:hAnsi="Garamond" w:cs="Times New Roman"/>
          <w:sz w:val="24"/>
          <w:szCs w:val="24"/>
        </w:rPr>
        <w:t xml:space="preserve">sistema bancario español ha sufrido una transformación muy profunda en los últimos diez años, tanto en términos cuantitativos como cualitativos. </w:t>
      </w:r>
      <w:r>
        <w:rPr>
          <w:rFonts w:ascii="Garamond" w:hAnsi="Garamond" w:cs="Times New Roman"/>
          <w:sz w:val="24"/>
          <w:szCs w:val="24"/>
        </w:rPr>
        <w:t>L</w:t>
      </w:r>
      <w:r w:rsidRPr="006544FD">
        <w:rPr>
          <w:rFonts w:ascii="Garamond" w:hAnsi="Garamond" w:cs="Times New Roman"/>
          <w:sz w:val="24"/>
          <w:szCs w:val="24"/>
        </w:rPr>
        <w:t>a desaparición de las cajas de ahorro</w:t>
      </w:r>
      <w:r w:rsidR="0026240B">
        <w:rPr>
          <w:rFonts w:ascii="Garamond" w:hAnsi="Garamond" w:cs="Times New Roman"/>
          <w:sz w:val="24"/>
          <w:szCs w:val="24"/>
        </w:rPr>
        <w:t xml:space="preserve"> (a partir de 2009)</w:t>
      </w:r>
      <w:r>
        <w:rPr>
          <w:rFonts w:ascii="Garamond" w:hAnsi="Garamond" w:cs="Times New Roman"/>
          <w:sz w:val="24"/>
          <w:szCs w:val="24"/>
        </w:rPr>
        <w:t xml:space="preserve">, hasta incluso, </w:t>
      </w:r>
      <w:r w:rsidRPr="006544FD">
        <w:rPr>
          <w:rFonts w:ascii="Garamond" w:hAnsi="Garamond" w:cs="Times New Roman"/>
          <w:sz w:val="24"/>
          <w:szCs w:val="24"/>
        </w:rPr>
        <w:t>la desaparición de algunos operadores (p. ej. Banco Popular</w:t>
      </w:r>
      <w:r w:rsidR="0026240B">
        <w:rPr>
          <w:rFonts w:ascii="Garamond" w:hAnsi="Garamond" w:cs="Times New Roman"/>
          <w:sz w:val="24"/>
          <w:szCs w:val="24"/>
        </w:rPr>
        <w:t xml:space="preserve"> en 2017</w:t>
      </w:r>
      <w:r w:rsidRPr="006544FD">
        <w:rPr>
          <w:rFonts w:ascii="Garamond" w:hAnsi="Garamond" w:cs="Times New Roman"/>
          <w:sz w:val="24"/>
          <w:szCs w:val="24"/>
        </w:rPr>
        <w:t>) han supuesto un cambio en el número de entidades de crédito</w:t>
      </w:r>
      <w:r>
        <w:rPr>
          <w:rFonts w:ascii="Garamond" w:hAnsi="Garamond" w:cs="Times New Roman"/>
          <w:sz w:val="24"/>
          <w:szCs w:val="24"/>
        </w:rPr>
        <w:t xml:space="preserve"> operadoras como también </w:t>
      </w:r>
      <w:r w:rsidRPr="006544FD">
        <w:rPr>
          <w:rFonts w:ascii="Garamond" w:hAnsi="Garamond" w:cs="Times New Roman"/>
          <w:sz w:val="24"/>
          <w:szCs w:val="24"/>
        </w:rPr>
        <w:t xml:space="preserve">el reparto del mercado. </w:t>
      </w:r>
      <w:r>
        <w:rPr>
          <w:rFonts w:ascii="Garamond" w:hAnsi="Garamond" w:cs="Times New Roman"/>
          <w:sz w:val="24"/>
          <w:szCs w:val="24"/>
        </w:rPr>
        <w:t>Aunque en un primer momento, esta</w:t>
      </w:r>
      <w:r w:rsidRPr="006544FD">
        <w:rPr>
          <w:rFonts w:ascii="Garamond" w:hAnsi="Garamond" w:cs="Times New Roman"/>
          <w:sz w:val="24"/>
          <w:szCs w:val="24"/>
        </w:rPr>
        <w:t xml:space="preserve"> reestructuración bancaria </w:t>
      </w:r>
      <w:r>
        <w:rPr>
          <w:rFonts w:ascii="Garamond" w:hAnsi="Garamond" w:cs="Times New Roman"/>
          <w:sz w:val="24"/>
          <w:szCs w:val="24"/>
        </w:rPr>
        <w:t>-auspiciada a</w:t>
      </w:r>
      <w:r w:rsidRPr="006544FD">
        <w:rPr>
          <w:rFonts w:ascii="Garamond" w:hAnsi="Garamond" w:cs="Times New Roman"/>
          <w:sz w:val="24"/>
          <w:szCs w:val="24"/>
        </w:rPr>
        <w:t xml:space="preserve"> instancias de la Unión Europea</w:t>
      </w:r>
      <w:r>
        <w:rPr>
          <w:rFonts w:ascii="Garamond" w:hAnsi="Garamond" w:cs="Times New Roman"/>
          <w:sz w:val="24"/>
          <w:szCs w:val="24"/>
        </w:rPr>
        <w:t>-</w:t>
      </w:r>
      <w:r w:rsidRPr="006544FD">
        <w:rPr>
          <w:rFonts w:ascii="Garamond" w:hAnsi="Garamond" w:cs="Times New Roman"/>
          <w:sz w:val="24"/>
          <w:szCs w:val="24"/>
        </w:rPr>
        <w:t xml:space="preserve"> se previó </w:t>
      </w:r>
      <w:r>
        <w:rPr>
          <w:rFonts w:ascii="Garamond" w:hAnsi="Garamond" w:cs="Times New Roman"/>
          <w:sz w:val="24"/>
          <w:szCs w:val="24"/>
        </w:rPr>
        <w:t>motivada por</w:t>
      </w:r>
      <w:r w:rsidRPr="006544FD">
        <w:rPr>
          <w:rFonts w:ascii="Garamond" w:hAnsi="Garamond" w:cs="Times New Roman"/>
          <w:sz w:val="24"/>
          <w:szCs w:val="24"/>
        </w:rPr>
        <w:t xml:space="preserve"> de falta de liquidez</w:t>
      </w:r>
      <w:r>
        <w:rPr>
          <w:rFonts w:ascii="Garamond" w:hAnsi="Garamond" w:cs="Times New Roman"/>
          <w:sz w:val="24"/>
          <w:szCs w:val="24"/>
        </w:rPr>
        <w:t xml:space="preserve">, llegó a completarse </w:t>
      </w:r>
      <w:r w:rsidRPr="006544FD">
        <w:rPr>
          <w:rFonts w:ascii="Garamond" w:hAnsi="Garamond" w:cs="Times New Roman"/>
          <w:sz w:val="24"/>
          <w:szCs w:val="24"/>
        </w:rPr>
        <w:t xml:space="preserve">con </w:t>
      </w:r>
      <w:r>
        <w:rPr>
          <w:rFonts w:ascii="Garamond" w:hAnsi="Garamond" w:cs="Times New Roman"/>
          <w:sz w:val="24"/>
          <w:szCs w:val="24"/>
        </w:rPr>
        <w:t xml:space="preserve">las </w:t>
      </w:r>
      <w:r w:rsidRPr="006544FD">
        <w:rPr>
          <w:rFonts w:ascii="Garamond" w:hAnsi="Garamond" w:cs="Times New Roman"/>
          <w:sz w:val="24"/>
          <w:szCs w:val="24"/>
        </w:rPr>
        <w:t xml:space="preserve">exigencias de solvencia (Basilea III). </w:t>
      </w:r>
    </w:p>
    <w:p w14:paraId="6B5C93BB" w14:textId="5F1CAF7E" w:rsidR="00A71A25" w:rsidRPr="006544FD" w:rsidRDefault="00A71A25" w:rsidP="00AC1B36">
      <w:pPr>
        <w:spacing w:before="240" w:line="300" w:lineRule="auto"/>
        <w:rPr>
          <w:rFonts w:ascii="Garamond" w:hAnsi="Garamond" w:cs="Times New Roman"/>
          <w:sz w:val="24"/>
          <w:szCs w:val="24"/>
        </w:rPr>
      </w:pPr>
    </w:p>
    <w:p w14:paraId="6A854E89" w14:textId="6DEBC5CE" w:rsidR="00B62A50" w:rsidRPr="00AE6F2E" w:rsidRDefault="00B62A50" w:rsidP="00AC1B36">
      <w:pPr>
        <w:pStyle w:val="Prrafodelista"/>
        <w:numPr>
          <w:ilvl w:val="0"/>
          <w:numId w:val="5"/>
        </w:numPr>
        <w:spacing w:before="240" w:line="300" w:lineRule="auto"/>
        <w:contextualSpacing w:val="0"/>
        <w:rPr>
          <w:rFonts w:ascii="Garamond" w:hAnsi="Garamond" w:cs="Times New Roman"/>
          <w:sz w:val="28"/>
          <w:szCs w:val="28"/>
        </w:rPr>
      </w:pPr>
      <w:r w:rsidRPr="00AE6F2E">
        <w:rPr>
          <w:rFonts w:ascii="Garamond" w:hAnsi="Garamond" w:cs="Times New Roman"/>
          <w:sz w:val="28"/>
          <w:szCs w:val="28"/>
        </w:rPr>
        <w:t xml:space="preserve">Las sucesivas reformas de Basilea: su incidencia en la actividad bancaria </w:t>
      </w:r>
    </w:p>
    <w:p w14:paraId="3E66F539" w14:textId="77777777" w:rsidR="006D1454" w:rsidRDefault="008B106C" w:rsidP="00AC1B36">
      <w:pPr>
        <w:spacing w:line="300" w:lineRule="auto"/>
        <w:rPr>
          <w:rFonts w:ascii="Garamond" w:hAnsi="Garamond" w:cs="Times New Roman"/>
          <w:sz w:val="24"/>
          <w:szCs w:val="24"/>
        </w:rPr>
      </w:pPr>
      <w:r w:rsidRPr="006544FD">
        <w:rPr>
          <w:rFonts w:ascii="Garamond" w:hAnsi="Garamond" w:cs="Times New Roman"/>
          <w:sz w:val="24"/>
          <w:szCs w:val="24"/>
        </w:rPr>
        <w:t>Los acuerdos de Basilea I comenzaron a implantarse en 1988</w:t>
      </w:r>
      <w:r w:rsidR="00015778" w:rsidRPr="006544FD">
        <w:rPr>
          <w:rFonts w:ascii="Garamond" w:hAnsi="Garamond" w:cs="Times New Roman"/>
          <w:sz w:val="24"/>
          <w:szCs w:val="24"/>
        </w:rPr>
        <w:t xml:space="preserve"> y buscaban establecer los principios básicos de la regulación de la actividad bancaria -y que aún siguen fundamentando el marco normativo-</w:t>
      </w:r>
      <w:r w:rsidR="006D1454">
        <w:rPr>
          <w:rFonts w:ascii="Garamond" w:hAnsi="Garamond" w:cs="Times New Roman"/>
          <w:sz w:val="24"/>
          <w:szCs w:val="24"/>
        </w:rPr>
        <w:t>. Basilea I introducía términos y condiciones</w:t>
      </w:r>
      <w:r w:rsidR="00015778" w:rsidRPr="006544FD">
        <w:rPr>
          <w:rFonts w:ascii="Garamond" w:hAnsi="Garamond" w:cs="Times New Roman"/>
          <w:sz w:val="24"/>
          <w:szCs w:val="24"/>
        </w:rPr>
        <w:t xml:space="preserve"> como el capital regulatorio, requisitos de permanencia y la capacidad de absorción de pérdidas ante situaciones de tensión o quiebra. </w:t>
      </w:r>
      <w:r w:rsidR="006D1454">
        <w:rPr>
          <w:rFonts w:ascii="Garamond" w:hAnsi="Garamond" w:cs="Times New Roman"/>
          <w:sz w:val="24"/>
          <w:szCs w:val="24"/>
        </w:rPr>
        <w:t>Esta primera fase de Basilea</w:t>
      </w:r>
      <w:r w:rsidR="00015778" w:rsidRPr="006544FD">
        <w:rPr>
          <w:rFonts w:ascii="Garamond" w:hAnsi="Garamond" w:cs="Times New Roman"/>
          <w:sz w:val="24"/>
          <w:szCs w:val="24"/>
        </w:rPr>
        <w:t xml:space="preserve"> </w:t>
      </w:r>
      <w:r w:rsidRPr="006544FD">
        <w:rPr>
          <w:rFonts w:ascii="Garamond" w:hAnsi="Garamond" w:cs="Times New Roman"/>
          <w:sz w:val="24"/>
          <w:szCs w:val="24"/>
        </w:rPr>
        <w:t>fij</w:t>
      </w:r>
      <w:r w:rsidR="00015778" w:rsidRPr="006544FD">
        <w:rPr>
          <w:rFonts w:ascii="Garamond" w:hAnsi="Garamond" w:cs="Times New Roman"/>
          <w:sz w:val="24"/>
          <w:szCs w:val="24"/>
        </w:rPr>
        <w:t xml:space="preserve">a </w:t>
      </w:r>
      <w:r w:rsidRPr="006544FD">
        <w:rPr>
          <w:rFonts w:ascii="Garamond" w:hAnsi="Garamond" w:cs="Times New Roman"/>
          <w:sz w:val="24"/>
          <w:szCs w:val="24"/>
        </w:rPr>
        <w:t>un requerimiento mínimo de capital para operar de un 8% entre capital y activos ponderados por riesgo.</w:t>
      </w:r>
      <w:r w:rsidR="00116CAC" w:rsidRPr="006544FD">
        <w:rPr>
          <w:rFonts w:ascii="Garamond" w:hAnsi="Garamond" w:cs="Times New Roman"/>
          <w:sz w:val="24"/>
          <w:szCs w:val="24"/>
        </w:rPr>
        <w:t xml:space="preserve"> Este coeficiente de solvencia</w:t>
      </w:r>
      <w:r w:rsidR="008B3904" w:rsidRPr="006544FD">
        <w:rPr>
          <w:rFonts w:ascii="Garamond" w:hAnsi="Garamond" w:cs="Times New Roman"/>
          <w:sz w:val="24"/>
          <w:szCs w:val="24"/>
        </w:rPr>
        <w:t xml:space="preserve">, según el Banco de España </w:t>
      </w:r>
    </w:p>
    <w:p w14:paraId="7D23DD5A" w14:textId="6D4DE852" w:rsidR="00740BEE" w:rsidRPr="006544FD" w:rsidRDefault="008B3904" w:rsidP="006D1454">
      <w:pPr>
        <w:spacing w:line="300" w:lineRule="auto"/>
        <w:ind w:left="708"/>
        <w:rPr>
          <w:rFonts w:ascii="Garamond" w:hAnsi="Garamond" w:cs="Times New Roman"/>
          <w:sz w:val="24"/>
          <w:szCs w:val="24"/>
        </w:rPr>
      </w:pPr>
      <w:r w:rsidRPr="006D1454">
        <w:rPr>
          <w:rFonts w:ascii="Garamond" w:hAnsi="Garamond" w:cs="Times New Roman"/>
          <w:i/>
          <w:sz w:val="24"/>
          <w:szCs w:val="24"/>
        </w:rPr>
        <w:lastRenderedPageBreak/>
        <w:t>trataba de medir la relación entre el capital regulatorio de la entidad y el riesgo asumido en sus actividades, si bien el grado de sensibilidad del coeficiente de solvencia al riesgo asumido, como se constató con posterioridad, resultó ser bastante reducido</w:t>
      </w:r>
      <w:r w:rsidR="00AE6F2E">
        <w:rPr>
          <w:rFonts w:ascii="Garamond" w:hAnsi="Garamond" w:cs="Times New Roman"/>
          <w:sz w:val="24"/>
          <w:szCs w:val="24"/>
        </w:rPr>
        <w:t>.</w:t>
      </w:r>
      <w:r w:rsidR="00116CAC" w:rsidRPr="006544FD">
        <w:rPr>
          <w:rStyle w:val="Refdenotaalpie"/>
          <w:rFonts w:ascii="Garamond" w:hAnsi="Garamond" w:cs="Times New Roman"/>
          <w:sz w:val="24"/>
          <w:szCs w:val="24"/>
        </w:rPr>
        <w:footnoteReference w:id="4"/>
      </w:r>
      <w:r w:rsidRPr="006544FD">
        <w:rPr>
          <w:rFonts w:ascii="Garamond" w:hAnsi="Garamond" w:cs="Times New Roman"/>
          <w:sz w:val="24"/>
          <w:szCs w:val="24"/>
        </w:rPr>
        <w:t xml:space="preserve"> </w:t>
      </w:r>
    </w:p>
    <w:p w14:paraId="6CA998BE" w14:textId="38F5C7EF" w:rsidR="008B3904" w:rsidRPr="006544FD" w:rsidRDefault="008B3904" w:rsidP="00AC1B36">
      <w:pPr>
        <w:spacing w:line="300" w:lineRule="auto"/>
        <w:rPr>
          <w:rFonts w:ascii="Garamond" w:hAnsi="Garamond" w:cs="Times New Roman"/>
          <w:sz w:val="24"/>
          <w:szCs w:val="24"/>
        </w:rPr>
      </w:pPr>
      <w:r w:rsidRPr="006544FD">
        <w:rPr>
          <w:rFonts w:ascii="Garamond" w:hAnsi="Garamond" w:cs="Times New Roman"/>
          <w:sz w:val="24"/>
          <w:szCs w:val="24"/>
        </w:rPr>
        <w:t>Las directivas que integraban los acuerdos de Basilea I fueron transpuestas al ordenamiento español por la Ley 13/1992</w:t>
      </w:r>
      <w:r w:rsidR="007E4683">
        <w:rPr>
          <w:rStyle w:val="Refdenotaalpie"/>
          <w:rFonts w:ascii="Garamond" w:hAnsi="Garamond" w:cs="Times New Roman"/>
          <w:sz w:val="24"/>
          <w:szCs w:val="24"/>
        </w:rPr>
        <w:footnoteReference w:id="5"/>
      </w:r>
      <w:r w:rsidRPr="006544FD">
        <w:rPr>
          <w:rFonts w:ascii="Garamond" w:hAnsi="Garamond" w:cs="Times New Roman"/>
          <w:sz w:val="24"/>
          <w:szCs w:val="24"/>
        </w:rPr>
        <w:t xml:space="preserve"> y la Circular 5/1</w:t>
      </w:r>
      <w:r w:rsidR="007E4683">
        <w:rPr>
          <w:rFonts w:ascii="Garamond" w:hAnsi="Garamond" w:cs="Times New Roman"/>
          <w:sz w:val="24"/>
          <w:szCs w:val="24"/>
        </w:rPr>
        <w:t>99</w:t>
      </w:r>
      <w:r w:rsidRPr="006544FD">
        <w:rPr>
          <w:rFonts w:ascii="Garamond" w:hAnsi="Garamond" w:cs="Times New Roman"/>
          <w:sz w:val="24"/>
          <w:szCs w:val="24"/>
        </w:rPr>
        <w:t>3</w:t>
      </w:r>
      <w:r w:rsidR="007E4683">
        <w:rPr>
          <w:rStyle w:val="Refdenotaalpie"/>
          <w:rFonts w:ascii="Garamond" w:hAnsi="Garamond" w:cs="Times New Roman"/>
          <w:sz w:val="24"/>
          <w:szCs w:val="24"/>
        </w:rPr>
        <w:footnoteReference w:id="6"/>
      </w:r>
      <w:r w:rsidRPr="006544FD">
        <w:rPr>
          <w:rFonts w:ascii="Garamond" w:hAnsi="Garamond" w:cs="Times New Roman"/>
          <w:sz w:val="24"/>
          <w:szCs w:val="24"/>
        </w:rPr>
        <w:t>, principalmente.</w:t>
      </w:r>
    </w:p>
    <w:p w14:paraId="2C38B4A9" w14:textId="7A046851" w:rsidR="00E6704B" w:rsidRPr="006544FD" w:rsidRDefault="00E6704B" w:rsidP="00AC1B36">
      <w:pPr>
        <w:spacing w:line="300" w:lineRule="auto"/>
        <w:rPr>
          <w:rFonts w:ascii="Garamond" w:hAnsi="Garamond" w:cs="Times New Roman"/>
          <w:sz w:val="24"/>
          <w:szCs w:val="24"/>
        </w:rPr>
      </w:pPr>
      <w:r w:rsidRPr="006544FD">
        <w:rPr>
          <w:rFonts w:ascii="Garamond" w:hAnsi="Garamond" w:cs="Times New Roman"/>
          <w:sz w:val="24"/>
          <w:szCs w:val="24"/>
        </w:rPr>
        <w:t>Hasta la implantación efectiva de los estándares de Basilea II en 2008, el Banco de España contaba con unas funciones de supervisión recogidas en la Ley 26/1988</w:t>
      </w:r>
      <w:r w:rsidR="00D27FF7">
        <w:rPr>
          <w:rStyle w:val="Refdenotaalpie"/>
          <w:rFonts w:ascii="Garamond" w:hAnsi="Garamond" w:cs="Times New Roman"/>
          <w:sz w:val="24"/>
          <w:szCs w:val="24"/>
        </w:rPr>
        <w:footnoteReference w:id="7"/>
      </w:r>
      <w:r w:rsidRPr="006544FD">
        <w:rPr>
          <w:rFonts w:ascii="Garamond" w:hAnsi="Garamond" w:cs="Times New Roman"/>
          <w:sz w:val="24"/>
          <w:szCs w:val="24"/>
        </w:rPr>
        <w:t xml:space="preserve"> por la cual esta institución podía realizar inspecciones periódicas y de requerimiento de información a las entidades de crédito. De igual modo, la Ley atribuía al Banco de España la capacidad de dictar recomendaciones, requerimientos e incluso aprobar planes de retorno para las entidades que no cumpliesen con los requerimientos de Basilea I.</w:t>
      </w:r>
    </w:p>
    <w:p w14:paraId="29FC33B5" w14:textId="246A9731" w:rsidR="00740BEE" w:rsidRPr="006544FD" w:rsidRDefault="00740BEE" w:rsidP="00AC1B36">
      <w:pPr>
        <w:spacing w:line="300" w:lineRule="auto"/>
        <w:rPr>
          <w:rFonts w:ascii="Garamond" w:hAnsi="Garamond" w:cs="Times New Roman"/>
          <w:sz w:val="24"/>
          <w:szCs w:val="24"/>
        </w:rPr>
      </w:pPr>
      <w:r w:rsidRPr="006544FD">
        <w:rPr>
          <w:rFonts w:ascii="Garamond" w:hAnsi="Garamond" w:cs="Times New Roman"/>
          <w:sz w:val="24"/>
          <w:szCs w:val="24"/>
        </w:rPr>
        <w:t>A nivel</w:t>
      </w:r>
      <w:r w:rsidR="00604F21" w:rsidRPr="006544FD">
        <w:rPr>
          <w:rFonts w:ascii="Garamond" w:hAnsi="Garamond" w:cs="Times New Roman"/>
          <w:sz w:val="24"/>
          <w:szCs w:val="24"/>
        </w:rPr>
        <w:t xml:space="preserve"> práctico</w:t>
      </w:r>
      <w:r w:rsidRPr="006544FD">
        <w:rPr>
          <w:rFonts w:ascii="Garamond" w:hAnsi="Garamond" w:cs="Times New Roman"/>
          <w:sz w:val="24"/>
          <w:szCs w:val="24"/>
        </w:rPr>
        <w:t xml:space="preserve"> nacional, los requisitos de capital de Basilea II se implementaron por la Circular del Banco de España 3/2008, de 22 de mayo, a entidades de crédito, sobre determinación y control de los recursos propios mínimos</w:t>
      </w:r>
      <w:r w:rsidR="00D27FF7">
        <w:rPr>
          <w:rStyle w:val="Refdenotaalpie"/>
          <w:rFonts w:ascii="Garamond" w:hAnsi="Garamond" w:cs="Times New Roman"/>
          <w:sz w:val="24"/>
          <w:szCs w:val="24"/>
        </w:rPr>
        <w:footnoteReference w:id="8"/>
      </w:r>
      <w:r w:rsidRPr="006544FD">
        <w:rPr>
          <w:rFonts w:ascii="Garamond" w:hAnsi="Garamond" w:cs="Times New Roman"/>
          <w:sz w:val="24"/>
          <w:szCs w:val="24"/>
        </w:rPr>
        <w:t xml:space="preserve"> (transposición de las Directivas 2006/48/CE y 2006/49/CE). Dicha Circular, vino a sustituir a la hasta el momento vigente Circular 5/1993</w:t>
      </w:r>
      <w:r w:rsidR="00A0307A" w:rsidRPr="006544FD">
        <w:rPr>
          <w:rFonts w:ascii="Garamond" w:hAnsi="Garamond" w:cs="Times New Roman"/>
          <w:sz w:val="24"/>
          <w:szCs w:val="24"/>
        </w:rPr>
        <w:t>, caracterizándose -la nueva circular- por un mayor grado de complejidad y desarrollo.</w:t>
      </w:r>
    </w:p>
    <w:p w14:paraId="3D8F0E84" w14:textId="17B8BC10" w:rsidR="00604F21" w:rsidRPr="006544FD" w:rsidRDefault="00604F21" w:rsidP="00AC1B36">
      <w:pPr>
        <w:spacing w:line="300" w:lineRule="auto"/>
        <w:rPr>
          <w:rFonts w:ascii="Garamond" w:hAnsi="Garamond" w:cs="Times New Roman"/>
          <w:sz w:val="24"/>
          <w:szCs w:val="24"/>
        </w:rPr>
      </w:pPr>
      <w:r w:rsidRPr="006544FD">
        <w:rPr>
          <w:rFonts w:ascii="Garamond" w:hAnsi="Garamond" w:cs="Times New Roman"/>
          <w:sz w:val="24"/>
          <w:szCs w:val="24"/>
        </w:rPr>
        <w:t>Sería la Ley 36/2007, de 16 de noviembre, de coeficientes de inversión, recursos propios y obligaciones de información y otras normas del sistema financiero, la que habilitara al Banco de España para la promulgación de la circular con el detalle técnico que la caracteriza. La Ley, así, transponía las Directivas 2006/48/CE y 2006/49/CE que integraban en el derecho comunitario el Acuerdo de Basilea II. No obstante, la citada ley no entraría en vigor hasta escasos meses antes de la caída de Lehman y el estallido de la crisis.</w:t>
      </w:r>
    </w:p>
    <w:p w14:paraId="1D7B98E7" w14:textId="3344CABC" w:rsidR="00A0307A" w:rsidRPr="006544FD" w:rsidRDefault="00A0307A" w:rsidP="00AC1B36">
      <w:pPr>
        <w:spacing w:line="300" w:lineRule="auto"/>
        <w:rPr>
          <w:rFonts w:ascii="Garamond" w:hAnsi="Garamond" w:cs="Times New Roman"/>
          <w:sz w:val="24"/>
          <w:szCs w:val="24"/>
        </w:rPr>
      </w:pPr>
      <w:r w:rsidRPr="006544FD">
        <w:rPr>
          <w:rFonts w:ascii="Garamond" w:hAnsi="Garamond" w:cs="Times New Roman"/>
          <w:sz w:val="24"/>
          <w:szCs w:val="24"/>
        </w:rPr>
        <w:t xml:space="preserve">La Circular </w:t>
      </w:r>
      <w:r w:rsidR="00604F21" w:rsidRPr="006544FD">
        <w:rPr>
          <w:rFonts w:ascii="Garamond" w:hAnsi="Garamond" w:cs="Times New Roman"/>
          <w:sz w:val="24"/>
          <w:szCs w:val="24"/>
        </w:rPr>
        <w:t xml:space="preserve">3/2008 </w:t>
      </w:r>
      <w:r w:rsidRPr="006544FD">
        <w:rPr>
          <w:rFonts w:ascii="Garamond" w:hAnsi="Garamond" w:cs="Times New Roman"/>
          <w:sz w:val="24"/>
          <w:szCs w:val="24"/>
        </w:rPr>
        <w:t>recoge los tres pilares de requerimiento que se acordaron en Basilea II: el primero, sobre mínimos de capital; el segundo, sobre función supervisora; y, por</w:t>
      </w:r>
      <w:r w:rsidR="006D6DEC" w:rsidRPr="006544FD">
        <w:rPr>
          <w:rFonts w:ascii="Garamond" w:hAnsi="Garamond" w:cs="Times New Roman"/>
          <w:sz w:val="24"/>
          <w:szCs w:val="24"/>
        </w:rPr>
        <w:t xml:space="preserve"> último, la disciplina de mercado. Dentro del primer pilar se contenían los requerimientos de recursos propios por riesgo de crédito, los requerimientos de recursos propios por riesgo de tipo de cambio y también los requerimientos por riesgo operacional -siendo </w:t>
      </w:r>
      <w:r w:rsidR="00D27FF7" w:rsidRPr="006544FD">
        <w:rPr>
          <w:rFonts w:ascii="Garamond" w:hAnsi="Garamond" w:cs="Times New Roman"/>
          <w:sz w:val="24"/>
          <w:szCs w:val="24"/>
        </w:rPr>
        <w:t>este</w:t>
      </w:r>
      <w:r w:rsidR="006D6DEC" w:rsidRPr="006544FD">
        <w:rPr>
          <w:rFonts w:ascii="Garamond" w:hAnsi="Garamond" w:cs="Times New Roman"/>
          <w:sz w:val="24"/>
          <w:szCs w:val="24"/>
        </w:rPr>
        <w:t xml:space="preserve"> último una de las principales novedades con respecto a Basilea I. El referido pilar de función supervisora venía a implantar las directrices de Basilea II sobre solvencia y de gestión del riesgo interno y, también la supervisión del Banco de España. </w:t>
      </w:r>
      <w:r w:rsidR="008955A8">
        <w:rPr>
          <w:rFonts w:ascii="Garamond" w:hAnsi="Garamond" w:cs="Times New Roman"/>
          <w:sz w:val="24"/>
          <w:szCs w:val="24"/>
        </w:rPr>
        <w:t>A grandes rasgos, el supervisor (</w:t>
      </w:r>
      <w:proofErr w:type="spellStart"/>
      <w:r w:rsidR="008955A8">
        <w:rPr>
          <w:rFonts w:ascii="Garamond" w:hAnsi="Garamond" w:cs="Times New Roman"/>
          <w:sz w:val="24"/>
          <w:szCs w:val="24"/>
        </w:rPr>
        <w:t>BdE</w:t>
      </w:r>
      <w:proofErr w:type="spellEnd"/>
      <w:r w:rsidR="008955A8">
        <w:rPr>
          <w:rFonts w:ascii="Garamond" w:hAnsi="Garamond" w:cs="Times New Roman"/>
          <w:sz w:val="24"/>
          <w:szCs w:val="24"/>
        </w:rPr>
        <w:t xml:space="preserve">) sería el responsable de determinar el grado de preparación de los bancos para asegurar la capacidad </w:t>
      </w:r>
      <w:r w:rsidR="008955A8">
        <w:rPr>
          <w:rFonts w:ascii="Garamond" w:hAnsi="Garamond" w:cs="Times New Roman"/>
          <w:sz w:val="24"/>
          <w:szCs w:val="24"/>
        </w:rPr>
        <w:lastRenderedPageBreak/>
        <w:t xml:space="preserve">de las entidades. </w:t>
      </w:r>
      <w:r w:rsidR="006D6DEC" w:rsidRPr="006544FD">
        <w:rPr>
          <w:rFonts w:ascii="Garamond" w:hAnsi="Garamond" w:cs="Times New Roman"/>
          <w:sz w:val="24"/>
          <w:szCs w:val="24"/>
        </w:rPr>
        <w:t>El tercer pilar de la Circular 3/2008 establecía obligaciones de información de relevancia prudencial sobre el desarrollo de la actividad</w:t>
      </w:r>
      <w:r w:rsidR="00FD4E25" w:rsidRPr="006544FD">
        <w:rPr>
          <w:rFonts w:ascii="Garamond" w:hAnsi="Garamond" w:cs="Times New Roman"/>
          <w:sz w:val="24"/>
          <w:szCs w:val="24"/>
        </w:rPr>
        <w:t xml:space="preserve">. </w:t>
      </w:r>
    </w:p>
    <w:p w14:paraId="11685792" w14:textId="377BBC43" w:rsidR="009045DB" w:rsidRPr="006544FD" w:rsidRDefault="009045DB" w:rsidP="00AC1B36">
      <w:pPr>
        <w:spacing w:line="300" w:lineRule="auto"/>
        <w:rPr>
          <w:rFonts w:ascii="Garamond" w:hAnsi="Garamond" w:cs="Times New Roman"/>
          <w:sz w:val="24"/>
          <w:szCs w:val="24"/>
        </w:rPr>
      </w:pPr>
      <w:r w:rsidRPr="006544FD">
        <w:rPr>
          <w:rFonts w:ascii="Garamond" w:hAnsi="Garamond" w:cs="Times New Roman"/>
          <w:sz w:val="24"/>
          <w:szCs w:val="24"/>
        </w:rPr>
        <w:t xml:space="preserve">Respecto a los requerimientos de recursos propios no existe una gran diferencia entre ambos programas -de hecho, el porcentaje es el mismo, el ocho por ciento-. Más bien, las novedades de Basilea II se refieren a la conformación del numerador y el denominador de la ratio de cálculo.  </w:t>
      </w:r>
    </w:p>
    <w:p w14:paraId="07EA493B" w14:textId="2E2F9900" w:rsidR="00045207" w:rsidRPr="006544FD" w:rsidRDefault="00FD4E25" w:rsidP="00AC1B36">
      <w:pPr>
        <w:spacing w:line="300" w:lineRule="auto"/>
        <w:rPr>
          <w:rFonts w:ascii="Garamond" w:hAnsi="Garamond" w:cs="Times New Roman"/>
          <w:sz w:val="24"/>
          <w:szCs w:val="24"/>
        </w:rPr>
      </w:pPr>
      <w:r w:rsidRPr="006544FD">
        <w:rPr>
          <w:rFonts w:ascii="Garamond" w:hAnsi="Garamond" w:cs="Times New Roman"/>
          <w:sz w:val="24"/>
          <w:szCs w:val="24"/>
        </w:rPr>
        <w:t xml:space="preserve">Con Basilea II (la Circular 3/2008) se reforzaban los requerimientos de solvencia y la gestión de riesgos. Lo que sí es significativo, a mi parecer, es que </w:t>
      </w:r>
      <w:r w:rsidR="00E6704B" w:rsidRPr="006544FD">
        <w:rPr>
          <w:rFonts w:ascii="Garamond" w:hAnsi="Garamond" w:cs="Times New Roman"/>
          <w:sz w:val="24"/>
          <w:szCs w:val="24"/>
        </w:rPr>
        <w:t>delimita</w:t>
      </w:r>
      <w:r w:rsidR="009045DB" w:rsidRPr="006544FD">
        <w:rPr>
          <w:rFonts w:ascii="Garamond" w:hAnsi="Garamond" w:cs="Times New Roman"/>
          <w:sz w:val="24"/>
          <w:szCs w:val="24"/>
        </w:rPr>
        <w:t xml:space="preserve"> tímidamente</w:t>
      </w:r>
      <w:r w:rsidRPr="006544FD">
        <w:rPr>
          <w:rFonts w:ascii="Garamond" w:hAnsi="Garamond" w:cs="Times New Roman"/>
          <w:sz w:val="24"/>
          <w:szCs w:val="24"/>
        </w:rPr>
        <w:t xml:space="preserve"> la libertad interna dada a las entidades, arrogando nuevas competencias al supervisor, en especial por lo que interesa, para el cálculo de los requerimientos mínimos. </w:t>
      </w:r>
      <w:r w:rsidR="00045207" w:rsidRPr="006544FD">
        <w:rPr>
          <w:rFonts w:ascii="Garamond" w:hAnsi="Garamond" w:cs="Times New Roman"/>
          <w:sz w:val="24"/>
          <w:szCs w:val="24"/>
        </w:rPr>
        <w:t>Concretamente, a los requerimientos de recursos propios se le adicionaban los requerimientos por riesgo operacional ya mencionados y</w:t>
      </w:r>
      <w:r w:rsidR="00B62A50" w:rsidRPr="006544FD">
        <w:rPr>
          <w:rFonts w:ascii="Garamond" w:hAnsi="Garamond" w:cs="Times New Roman"/>
          <w:sz w:val="24"/>
          <w:szCs w:val="24"/>
        </w:rPr>
        <w:t xml:space="preserve"> los colchones de recursos adicionales para cubrir otros riesgos. </w:t>
      </w:r>
      <w:r w:rsidR="00604F21" w:rsidRPr="006544FD">
        <w:rPr>
          <w:rFonts w:ascii="Garamond" w:hAnsi="Garamond" w:cs="Times New Roman"/>
          <w:sz w:val="24"/>
          <w:szCs w:val="24"/>
        </w:rPr>
        <w:t xml:space="preserve">Es decir, al esquema de cálculo de los activos ponderados por riesgo de Basilea I se le adicionaba ahora el ‘riesgo operacional’ (a contabilizar junto con el riesgo de mercado y el de crédito). </w:t>
      </w:r>
      <w:r w:rsidR="001313BB">
        <w:rPr>
          <w:rFonts w:ascii="Garamond" w:hAnsi="Garamond" w:cs="Times New Roman"/>
          <w:sz w:val="24"/>
          <w:szCs w:val="24"/>
        </w:rPr>
        <w:t xml:space="preserve"> Éste se define como “</w:t>
      </w:r>
      <w:r w:rsidR="001313BB" w:rsidRPr="001313BB">
        <w:rPr>
          <w:rFonts w:ascii="Garamond" w:hAnsi="Garamond" w:cs="Times New Roman"/>
          <w:sz w:val="24"/>
          <w:szCs w:val="24"/>
        </w:rPr>
        <w:t>el riesgo de sufrir pérdidas debido a la inadecuación o a fallos de los procesos, el personal y los sistemas internos o bien a causa de acontecimientos externos”</w:t>
      </w:r>
      <w:r w:rsidR="001313BB">
        <w:rPr>
          <w:rFonts w:ascii="Garamond" w:hAnsi="Garamond" w:cs="Times New Roman"/>
          <w:sz w:val="24"/>
          <w:szCs w:val="24"/>
        </w:rPr>
        <w:t>.</w:t>
      </w:r>
      <w:r w:rsidR="001313BB">
        <w:rPr>
          <w:rStyle w:val="Refdenotaalpie"/>
          <w:rFonts w:ascii="Garamond" w:hAnsi="Garamond" w:cs="Times New Roman"/>
          <w:sz w:val="24"/>
          <w:szCs w:val="24"/>
        </w:rPr>
        <w:footnoteReference w:id="9"/>
      </w:r>
      <w:r w:rsidR="001313BB">
        <w:rPr>
          <w:rFonts w:ascii="Garamond" w:hAnsi="Garamond" w:cs="Times New Roman"/>
          <w:sz w:val="24"/>
          <w:szCs w:val="24"/>
        </w:rPr>
        <w:t xml:space="preserve"> Para su cálculo, Basilea II incluía tres métodos distintos, cada cual de más sofisticado y sensible al riesgo evaluado, enfocando el más sofisticado para entidades internacionales.</w:t>
      </w:r>
    </w:p>
    <w:p w14:paraId="5831ADE1" w14:textId="77777777" w:rsidR="005D47A7" w:rsidRDefault="00ED02D3" w:rsidP="00AC1B36">
      <w:pPr>
        <w:spacing w:line="300" w:lineRule="auto"/>
        <w:rPr>
          <w:rFonts w:ascii="Garamond" w:hAnsi="Garamond" w:cs="Times New Roman"/>
          <w:sz w:val="24"/>
          <w:szCs w:val="24"/>
        </w:rPr>
      </w:pPr>
      <w:r w:rsidRPr="006544FD">
        <w:rPr>
          <w:rFonts w:ascii="Garamond" w:hAnsi="Garamond" w:cs="Times New Roman"/>
          <w:sz w:val="24"/>
          <w:szCs w:val="24"/>
        </w:rPr>
        <w:t xml:space="preserve">Centrándonos en los cambios del </w:t>
      </w:r>
      <w:r w:rsidRPr="00637A57">
        <w:rPr>
          <w:rFonts w:ascii="Garamond" w:hAnsi="Garamond" w:cs="Times New Roman"/>
          <w:b/>
          <w:sz w:val="24"/>
          <w:szCs w:val="24"/>
        </w:rPr>
        <w:t>pilar de los requerimientos mínimos de capital</w:t>
      </w:r>
      <w:r w:rsidRPr="006544FD">
        <w:rPr>
          <w:rFonts w:ascii="Garamond" w:hAnsi="Garamond" w:cs="Times New Roman"/>
          <w:sz w:val="24"/>
          <w:szCs w:val="24"/>
        </w:rPr>
        <w:t xml:space="preserve"> ha de anticiparse que el ‘capital regulador’ apenas si varió. Su composición </w:t>
      </w:r>
      <w:r w:rsidR="005D47A7" w:rsidRPr="006544FD">
        <w:rPr>
          <w:rFonts w:ascii="Garamond" w:hAnsi="Garamond" w:cs="Times New Roman"/>
          <w:sz w:val="24"/>
          <w:szCs w:val="24"/>
        </w:rPr>
        <w:t>quedaba,</w:t>
      </w:r>
      <w:r w:rsidRPr="006544FD">
        <w:rPr>
          <w:rFonts w:ascii="Garamond" w:hAnsi="Garamond" w:cs="Times New Roman"/>
          <w:sz w:val="24"/>
          <w:szCs w:val="24"/>
        </w:rPr>
        <w:t xml:space="preserve"> por tanto: </w:t>
      </w:r>
    </w:p>
    <w:p w14:paraId="65F1030B" w14:textId="47F5EBF5" w:rsidR="005D47A7" w:rsidRPr="005D47A7" w:rsidRDefault="00ED02D3" w:rsidP="005D47A7">
      <w:pPr>
        <w:pStyle w:val="Prrafodelista"/>
        <w:numPr>
          <w:ilvl w:val="0"/>
          <w:numId w:val="7"/>
        </w:numPr>
        <w:spacing w:line="300" w:lineRule="auto"/>
        <w:rPr>
          <w:rFonts w:ascii="Garamond" w:hAnsi="Garamond" w:cs="Times New Roman"/>
          <w:sz w:val="24"/>
          <w:szCs w:val="24"/>
        </w:rPr>
      </w:pPr>
      <w:r w:rsidRPr="005D47A7">
        <w:rPr>
          <w:rFonts w:ascii="Garamond" w:hAnsi="Garamond" w:cs="Times New Roman"/>
          <w:sz w:val="24"/>
          <w:szCs w:val="24"/>
        </w:rPr>
        <w:t>Capital básico (acciones + reservas declaradas)</w:t>
      </w:r>
      <w:r w:rsidR="00C34A67" w:rsidRPr="005D47A7">
        <w:rPr>
          <w:rFonts w:ascii="Garamond" w:hAnsi="Garamond" w:cs="Times New Roman"/>
          <w:sz w:val="24"/>
          <w:szCs w:val="24"/>
        </w:rPr>
        <w:t>, que debía ser el 50% de la base del capital;</w:t>
      </w:r>
    </w:p>
    <w:p w14:paraId="371A913E" w14:textId="3CEDA6DF" w:rsidR="005D47A7" w:rsidRDefault="00C34A67" w:rsidP="005D47A7">
      <w:pPr>
        <w:pStyle w:val="Prrafodelista"/>
        <w:numPr>
          <w:ilvl w:val="0"/>
          <w:numId w:val="7"/>
        </w:numPr>
        <w:spacing w:line="300" w:lineRule="auto"/>
        <w:rPr>
          <w:rFonts w:ascii="Garamond" w:hAnsi="Garamond" w:cs="Times New Roman"/>
          <w:sz w:val="24"/>
          <w:szCs w:val="24"/>
        </w:rPr>
      </w:pPr>
      <w:r w:rsidRPr="005D47A7">
        <w:rPr>
          <w:rFonts w:ascii="Garamond" w:hAnsi="Garamond" w:cs="Times New Roman"/>
          <w:sz w:val="24"/>
          <w:szCs w:val="24"/>
        </w:rPr>
        <w:t>Capital complementario (reservas no declaradas, de revalorización, provisiones, deuda subordinada a plazo…).</w:t>
      </w:r>
      <w:r w:rsidR="00ED02D3" w:rsidRPr="005D47A7">
        <w:rPr>
          <w:rFonts w:ascii="Garamond" w:hAnsi="Garamond" w:cs="Times New Roman"/>
          <w:sz w:val="24"/>
          <w:szCs w:val="24"/>
        </w:rPr>
        <w:t xml:space="preserve"> </w:t>
      </w:r>
    </w:p>
    <w:p w14:paraId="04278EF5" w14:textId="4539EC47" w:rsidR="00637A57" w:rsidRPr="005D47A7" w:rsidRDefault="00637A57" w:rsidP="005D47A7">
      <w:pPr>
        <w:pStyle w:val="Prrafodelista"/>
        <w:numPr>
          <w:ilvl w:val="0"/>
          <w:numId w:val="7"/>
        </w:numPr>
        <w:spacing w:line="300" w:lineRule="auto"/>
        <w:rPr>
          <w:rFonts w:ascii="Garamond" w:hAnsi="Garamond" w:cs="Times New Roman"/>
          <w:sz w:val="24"/>
          <w:szCs w:val="24"/>
        </w:rPr>
      </w:pPr>
      <w:r>
        <w:rPr>
          <w:rFonts w:ascii="Garamond" w:hAnsi="Garamond" w:cs="Times New Roman"/>
          <w:sz w:val="24"/>
          <w:szCs w:val="24"/>
        </w:rPr>
        <w:t xml:space="preserve">Adicionalmente, las autoridades nacionales podían exigir un tercer nivel de capital a las entidades de sus países. Este se denominaba deuda subordinada a corto plazo. </w:t>
      </w:r>
    </w:p>
    <w:p w14:paraId="104D0A8F" w14:textId="368255CA" w:rsidR="00ED02D3" w:rsidRPr="006544FD" w:rsidRDefault="00ED02D3" w:rsidP="00AC1B36">
      <w:pPr>
        <w:spacing w:line="300" w:lineRule="auto"/>
        <w:rPr>
          <w:rFonts w:ascii="Garamond" w:hAnsi="Garamond" w:cs="Times New Roman"/>
          <w:sz w:val="24"/>
          <w:szCs w:val="24"/>
        </w:rPr>
      </w:pPr>
      <w:r w:rsidRPr="006544FD">
        <w:rPr>
          <w:rFonts w:ascii="Garamond" w:hAnsi="Garamond" w:cs="Times New Roman"/>
          <w:sz w:val="24"/>
          <w:szCs w:val="24"/>
        </w:rPr>
        <w:t xml:space="preserve">Para el cálculo de los activos ponderados por riesgo, se </w:t>
      </w:r>
      <w:r w:rsidR="00361107">
        <w:rPr>
          <w:rFonts w:ascii="Garamond" w:hAnsi="Garamond" w:cs="Times New Roman"/>
          <w:sz w:val="24"/>
          <w:szCs w:val="24"/>
        </w:rPr>
        <w:t>atendía al múltiplo de</w:t>
      </w:r>
      <w:r w:rsidRPr="006544FD">
        <w:rPr>
          <w:rFonts w:ascii="Garamond" w:hAnsi="Garamond" w:cs="Times New Roman"/>
          <w:sz w:val="24"/>
          <w:szCs w:val="24"/>
        </w:rPr>
        <w:t xml:space="preserve"> los requerimientos de capital para riesgo de mercado y del riesgo operacional por 12,5. Dicho resultado se adicionaría a la suma de los activos ponderados por riesgo de crédito.  </w:t>
      </w:r>
    </w:p>
    <w:p w14:paraId="0D4435BA" w14:textId="18F9C511" w:rsidR="00D66B23" w:rsidRPr="006544FD" w:rsidRDefault="00361107" w:rsidP="00D810D5">
      <w:pPr>
        <w:spacing w:line="300" w:lineRule="auto"/>
        <w:rPr>
          <w:rFonts w:ascii="Garamond" w:hAnsi="Garamond" w:cs="Times New Roman"/>
          <w:sz w:val="24"/>
          <w:szCs w:val="24"/>
        </w:rPr>
      </w:pPr>
      <w:r>
        <w:rPr>
          <w:rFonts w:ascii="Garamond" w:hAnsi="Garamond" w:cs="Times New Roman"/>
          <w:sz w:val="24"/>
          <w:szCs w:val="24"/>
        </w:rPr>
        <w:t>Como se antecedía, el Acuerdo identificaba tres riesgos a escrutar o ponderar: riesgo por crédito, riesgo de mercado y, el novedoso riesgo operacional. Para el cálculo del primero (</w:t>
      </w:r>
      <w:r w:rsidR="00C34A67" w:rsidRPr="006544FD">
        <w:rPr>
          <w:rFonts w:ascii="Garamond" w:hAnsi="Garamond" w:cs="Times New Roman"/>
          <w:sz w:val="24"/>
          <w:szCs w:val="24"/>
        </w:rPr>
        <w:t>riesgo por crédito</w:t>
      </w:r>
      <w:r>
        <w:rPr>
          <w:rFonts w:ascii="Garamond" w:hAnsi="Garamond" w:cs="Times New Roman"/>
          <w:sz w:val="24"/>
          <w:szCs w:val="24"/>
        </w:rPr>
        <w:t>)</w:t>
      </w:r>
      <w:r w:rsidR="00C34A67" w:rsidRPr="006544FD">
        <w:rPr>
          <w:rFonts w:ascii="Garamond" w:hAnsi="Garamond" w:cs="Times New Roman"/>
          <w:sz w:val="24"/>
          <w:szCs w:val="24"/>
        </w:rPr>
        <w:t xml:space="preserve">, Basilea II daba dos alternativas de cálculo, el método basado en calificaciones internas o el método estándar. El método estándar permite utilizar las evaluaciones realizadas por instituciones externas sobre su crédito (agencias de </w:t>
      </w:r>
      <w:r w:rsidR="00C34A67" w:rsidRPr="006544FD">
        <w:rPr>
          <w:rFonts w:ascii="Garamond" w:hAnsi="Garamond" w:cs="Times New Roman"/>
          <w:i/>
          <w:sz w:val="24"/>
          <w:szCs w:val="24"/>
        </w:rPr>
        <w:t>rating</w:t>
      </w:r>
      <w:r w:rsidR="00C34A67" w:rsidRPr="006544FD">
        <w:rPr>
          <w:rFonts w:ascii="Garamond" w:hAnsi="Garamond" w:cs="Times New Roman"/>
          <w:sz w:val="24"/>
          <w:szCs w:val="24"/>
        </w:rPr>
        <w:t xml:space="preserve">). El método de calificaciones internas requería autorización del supervisor. </w:t>
      </w:r>
      <w:r>
        <w:rPr>
          <w:rFonts w:ascii="Garamond" w:hAnsi="Garamond" w:cs="Times New Roman"/>
          <w:sz w:val="24"/>
          <w:szCs w:val="24"/>
        </w:rPr>
        <w:t xml:space="preserve">El riesgo de mercado </w:t>
      </w:r>
      <w:r>
        <w:rPr>
          <w:rFonts w:ascii="Garamond" w:hAnsi="Garamond" w:cs="Times New Roman"/>
          <w:sz w:val="24"/>
          <w:szCs w:val="24"/>
        </w:rPr>
        <w:lastRenderedPageBreak/>
        <w:t xml:space="preserve">incluía los </w:t>
      </w:r>
      <w:r w:rsidRPr="00361107">
        <w:rPr>
          <w:rFonts w:ascii="Garamond" w:hAnsi="Garamond" w:cs="Times New Roman"/>
          <w:sz w:val="24"/>
          <w:szCs w:val="24"/>
        </w:rPr>
        <w:t>riesgos inherentes a las acciones y a instrumentos relacionados con los tipos de</w:t>
      </w:r>
      <w:r>
        <w:rPr>
          <w:rFonts w:ascii="Garamond" w:hAnsi="Garamond" w:cs="Times New Roman"/>
          <w:sz w:val="24"/>
          <w:szCs w:val="24"/>
        </w:rPr>
        <w:t xml:space="preserve"> </w:t>
      </w:r>
      <w:r w:rsidRPr="00361107">
        <w:rPr>
          <w:rFonts w:ascii="Garamond" w:hAnsi="Garamond" w:cs="Times New Roman"/>
          <w:sz w:val="24"/>
          <w:szCs w:val="24"/>
        </w:rPr>
        <w:t>interés en la cartera de negociación</w:t>
      </w:r>
      <w:r>
        <w:rPr>
          <w:rFonts w:ascii="Garamond" w:hAnsi="Garamond" w:cs="Times New Roman"/>
          <w:sz w:val="24"/>
          <w:szCs w:val="24"/>
        </w:rPr>
        <w:t xml:space="preserve"> y, también el</w:t>
      </w:r>
      <w:r w:rsidRPr="00361107">
        <w:rPr>
          <w:rFonts w:ascii="Garamond" w:hAnsi="Garamond" w:cs="Times New Roman"/>
          <w:sz w:val="24"/>
          <w:szCs w:val="24"/>
        </w:rPr>
        <w:t xml:space="preserve"> riesgo de divisas y riesgo de productos básicos en todo el banco.</w:t>
      </w:r>
      <w:r w:rsidR="00D810D5">
        <w:rPr>
          <w:rFonts w:ascii="Garamond" w:hAnsi="Garamond" w:cs="Times New Roman"/>
          <w:sz w:val="24"/>
          <w:szCs w:val="24"/>
        </w:rPr>
        <w:t xml:space="preserve"> Al igual que con el riesgo por crédito, hay métodos de valoración alternativos. Para el nuevo riesgo, se establecen tres métodos: el </w:t>
      </w:r>
      <w:r w:rsidR="00D810D5" w:rsidRPr="00D810D5">
        <w:rPr>
          <w:rFonts w:ascii="Garamond" w:hAnsi="Garamond" w:cs="Times New Roman"/>
          <w:sz w:val="24"/>
          <w:szCs w:val="24"/>
        </w:rPr>
        <w:t>Método del Indicador Básico</w:t>
      </w:r>
      <w:r w:rsidR="00D810D5">
        <w:rPr>
          <w:rFonts w:ascii="Garamond" w:hAnsi="Garamond" w:cs="Times New Roman"/>
          <w:sz w:val="24"/>
          <w:szCs w:val="24"/>
        </w:rPr>
        <w:t xml:space="preserve">, </w:t>
      </w:r>
      <w:r w:rsidR="00D810D5" w:rsidRPr="00D810D5">
        <w:rPr>
          <w:rFonts w:ascii="Garamond" w:hAnsi="Garamond" w:cs="Times New Roman"/>
          <w:sz w:val="24"/>
          <w:szCs w:val="24"/>
        </w:rPr>
        <w:t>el Método Estándar y</w:t>
      </w:r>
      <w:r w:rsidR="00D810D5">
        <w:rPr>
          <w:rFonts w:ascii="Garamond" w:hAnsi="Garamond" w:cs="Times New Roman"/>
          <w:sz w:val="24"/>
          <w:szCs w:val="24"/>
        </w:rPr>
        <w:t xml:space="preserve"> </w:t>
      </w:r>
      <w:r w:rsidR="00D810D5" w:rsidRPr="00D810D5">
        <w:rPr>
          <w:rFonts w:ascii="Garamond" w:hAnsi="Garamond" w:cs="Times New Roman"/>
          <w:sz w:val="24"/>
          <w:szCs w:val="24"/>
        </w:rPr>
        <w:t>los Métodos de Medición</w:t>
      </w:r>
      <w:r w:rsidR="00D810D5">
        <w:rPr>
          <w:rFonts w:ascii="Garamond" w:hAnsi="Garamond" w:cs="Times New Roman"/>
          <w:sz w:val="24"/>
          <w:szCs w:val="24"/>
        </w:rPr>
        <w:t xml:space="preserve"> </w:t>
      </w:r>
      <w:r w:rsidR="00D810D5" w:rsidRPr="00D810D5">
        <w:rPr>
          <w:rFonts w:ascii="Garamond" w:hAnsi="Garamond" w:cs="Times New Roman"/>
          <w:sz w:val="24"/>
          <w:szCs w:val="24"/>
        </w:rPr>
        <w:t>Avanzada</w:t>
      </w:r>
      <w:r w:rsidR="00D810D5">
        <w:rPr>
          <w:rFonts w:ascii="Garamond" w:hAnsi="Garamond" w:cs="Times New Roman"/>
          <w:sz w:val="24"/>
          <w:szCs w:val="24"/>
        </w:rPr>
        <w:t>.</w:t>
      </w:r>
    </w:p>
    <w:p w14:paraId="62A46AA9" w14:textId="5B6D9452" w:rsidR="00015778" w:rsidRPr="006544FD" w:rsidRDefault="00284BB5" w:rsidP="00AC1B36">
      <w:pPr>
        <w:spacing w:line="300" w:lineRule="auto"/>
        <w:rPr>
          <w:rFonts w:ascii="Garamond" w:hAnsi="Garamond" w:cs="Times New Roman"/>
          <w:sz w:val="24"/>
          <w:szCs w:val="24"/>
        </w:rPr>
      </w:pPr>
      <w:r>
        <w:rPr>
          <w:rFonts w:ascii="Garamond" w:hAnsi="Garamond" w:cs="Times New Roman"/>
          <w:sz w:val="24"/>
          <w:szCs w:val="24"/>
        </w:rPr>
        <w:t xml:space="preserve">En segundo lugar, </w:t>
      </w:r>
      <w:r w:rsidRPr="00284BB5">
        <w:rPr>
          <w:rFonts w:ascii="Garamond" w:hAnsi="Garamond" w:cs="Times New Roman"/>
          <w:b/>
          <w:sz w:val="24"/>
          <w:szCs w:val="24"/>
        </w:rPr>
        <w:t>el pilar supervisor</w:t>
      </w:r>
      <w:r>
        <w:rPr>
          <w:rFonts w:ascii="Garamond" w:hAnsi="Garamond" w:cs="Times New Roman"/>
          <w:sz w:val="24"/>
          <w:szCs w:val="24"/>
        </w:rPr>
        <w:t xml:space="preserve"> se materializó</w:t>
      </w:r>
      <w:r w:rsidR="00E6704B" w:rsidRPr="006544FD">
        <w:rPr>
          <w:rFonts w:ascii="Garamond" w:hAnsi="Garamond" w:cs="Times New Roman"/>
          <w:sz w:val="24"/>
          <w:szCs w:val="24"/>
        </w:rPr>
        <w:t xml:space="preserve"> en la Ley 26/1988</w:t>
      </w:r>
      <w:r>
        <w:rPr>
          <w:rFonts w:ascii="Garamond" w:hAnsi="Garamond" w:cs="Times New Roman"/>
          <w:sz w:val="24"/>
          <w:szCs w:val="24"/>
        </w:rPr>
        <w:t>.</w:t>
      </w:r>
      <w:r w:rsidR="00E6704B" w:rsidRPr="006544FD">
        <w:rPr>
          <w:rFonts w:ascii="Garamond" w:hAnsi="Garamond" w:cs="Times New Roman"/>
          <w:sz w:val="24"/>
          <w:szCs w:val="24"/>
        </w:rPr>
        <w:t xml:space="preserve"> </w:t>
      </w:r>
      <w:r>
        <w:rPr>
          <w:rFonts w:ascii="Garamond" w:hAnsi="Garamond" w:cs="Times New Roman"/>
          <w:sz w:val="24"/>
          <w:szCs w:val="24"/>
        </w:rPr>
        <w:t>De</w:t>
      </w:r>
      <w:r w:rsidR="003A5CBB" w:rsidRPr="006544FD">
        <w:rPr>
          <w:rFonts w:ascii="Garamond" w:hAnsi="Garamond" w:cs="Times New Roman"/>
          <w:sz w:val="24"/>
          <w:szCs w:val="24"/>
        </w:rPr>
        <w:t>sde el Comité de Basilea recomendaron a los supervisores -con oportunidad de la aprobación de Basilea II-, a ir un paso más allá; es decir, pasar de una revisión de cumplimiento individual de cada entidad de los requerimientos de solvencia y solidez, a “orientar sus esfuerzos hacia la calidad de los procesos que emplea el banco para gestionar sus riesgos y hacia la capacidad para evaluar adecuadamente su exposición al riesgo”</w:t>
      </w:r>
      <w:r w:rsidR="0056687F" w:rsidRPr="006544FD">
        <w:rPr>
          <w:rFonts w:ascii="Garamond" w:hAnsi="Garamond" w:cs="Times New Roman"/>
          <w:sz w:val="24"/>
          <w:szCs w:val="24"/>
        </w:rPr>
        <w:t>.</w:t>
      </w:r>
      <w:r w:rsidR="003A5CBB" w:rsidRPr="006544FD">
        <w:rPr>
          <w:rStyle w:val="Refdenotaalpie"/>
          <w:rFonts w:ascii="Garamond" w:hAnsi="Garamond" w:cs="Times New Roman"/>
          <w:sz w:val="24"/>
          <w:szCs w:val="24"/>
        </w:rPr>
        <w:footnoteReference w:id="10"/>
      </w:r>
    </w:p>
    <w:p w14:paraId="4C49D4FF" w14:textId="15DFF7E4" w:rsidR="00590290" w:rsidRDefault="0049746D" w:rsidP="00AC1B36">
      <w:pPr>
        <w:spacing w:line="300" w:lineRule="auto"/>
        <w:rPr>
          <w:rFonts w:ascii="Garamond" w:hAnsi="Garamond" w:cs="Times New Roman"/>
          <w:sz w:val="24"/>
          <w:szCs w:val="24"/>
        </w:rPr>
      </w:pPr>
      <w:r w:rsidRPr="006544FD">
        <w:rPr>
          <w:rFonts w:ascii="Garamond" w:hAnsi="Garamond" w:cs="Times New Roman"/>
          <w:sz w:val="24"/>
          <w:szCs w:val="24"/>
        </w:rPr>
        <w:t xml:space="preserve">La Ley 26/1988 de Disciplina e Intervención de las Entidades de Crédito se erigía como la columna vertebral del sistema bancario español hasta las reformas acometidas como consecuencia de la crisis financiera. Entre 1992 y 1994, se aprobaban las Directivas 92/30/CEE, 92/212/CEE y 94/19/CE, sobre supervisión de entidades de crédito y el riesgo (las dos primeras) y sobre garantía de depósitos (la tercera). Así comenzaba a instaurarse lo que escasos años después plasmaría </w:t>
      </w:r>
      <w:proofErr w:type="spellStart"/>
      <w:r w:rsidRPr="006544FD">
        <w:rPr>
          <w:rFonts w:ascii="Garamond" w:hAnsi="Garamond" w:cs="Times New Roman"/>
          <w:sz w:val="24"/>
          <w:szCs w:val="24"/>
        </w:rPr>
        <w:t>Lamfalussy</w:t>
      </w:r>
      <w:proofErr w:type="spellEnd"/>
      <w:r w:rsidRPr="006544FD">
        <w:rPr>
          <w:rFonts w:ascii="Garamond" w:hAnsi="Garamond" w:cs="Times New Roman"/>
          <w:sz w:val="24"/>
          <w:szCs w:val="24"/>
        </w:rPr>
        <w:t xml:space="preserve"> en su Informe</w:t>
      </w:r>
      <w:r w:rsidRPr="006544FD">
        <w:rPr>
          <w:rStyle w:val="Refdenotaalpie"/>
          <w:rFonts w:ascii="Garamond" w:hAnsi="Garamond" w:cs="Times New Roman"/>
          <w:sz w:val="24"/>
          <w:szCs w:val="24"/>
        </w:rPr>
        <w:footnoteReference w:id="11"/>
      </w:r>
      <w:r w:rsidR="00590290" w:rsidRPr="006544FD">
        <w:rPr>
          <w:rFonts w:ascii="Garamond" w:hAnsi="Garamond" w:cs="Times New Roman"/>
          <w:sz w:val="24"/>
          <w:szCs w:val="24"/>
        </w:rPr>
        <w:t xml:space="preserve"> acerca de la convergencia en la supervisión y la legislación. También en el año 1994 se aprobaba la Ley de Autonomía del Banco de España, que atribuía funciones de supervisión bancaria al Banco. </w:t>
      </w:r>
    </w:p>
    <w:p w14:paraId="4C35A119" w14:textId="78E87FF8" w:rsidR="00284BB5" w:rsidRPr="000852F5" w:rsidRDefault="00284BB5" w:rsidP="00AC1B36">
      <w:pPr>
        <w:spacing w:line="300" w:lineRule="auto"/>
        <w:rPr>
          <w:rFonts w:ascii="Garamond" w:hAnsi="Garamond" w:cs="Times New Roman"/>
          <w:sz w:val="24"/>
          <w:szCs w:val="24"/>
        </w:rPr>
      </w:pPr>
      <w:r>
        <w:rPr>
          <w:rFonts w:ascii="Garamond" w:hAnsi="Garamond" w:cs="Times New Roman"/>
          <w:sz w:val="24"/>
          <w:szCs w:val="24"/>
        </w:rPr>
        <w:t xml:space="preserve">Por último, el </w:t>
      </w:r>
      <w:r w:rsidRPr="000852F5">
        <w:rPr>
          <w:rFonts w:ascii="Garamond" w:hAnsi="Garamond" w:cs="Times New Roman"/>
          <w:b/>
          <w:sz w:val="24"/>
          <w:szCs w:val="24"/>
        </w:rPr>
        <w:t>tercer pilar</w:t>
      </w:r>
      <w:r>
        <w:rPr>
          <w:rFonts w:ascii="Garamond" w:hAnsi="Garamond" w:cs="Times New Roman"/>
          <w:sz w:val="24"/>
          <w:szCs w:val="24"/>
        </w:rPr>
        <w:t xml:space="preserve"> aludía la </w:t>
      </w:r>
      <w:r w:rsidRPr="000852F5">
        <w:rPr>
          <w:rFonts w:ascii="Garamond" w:hAnsi="Garamond" w:cs="Times New Roman"/>
          <w:b/>
          <w:sz w:val="24"/>
          <w:szCs w:val="24"/>
        </w:rPr>
        <w:t>disciplina de mercado</w:t>
      </w:r>
      <w:r w:rsidR="000852F5">
        <w:rPr>
          <w:rFonts w:ascii="Garamond" w:hAnsi="Garamond" w:cs="Times New Roman"/>
          <w:b/>
          <w:sz w:val="24"/>
          <w:szCs w:val="24"/>
        </w:rPr>
        <w:t xml:space="preserve"> </w:t>
      </w:r>
      <w:proofErr w:type="spellStart"/>
      <w:r w:rsidR="000852F5">
        <w:rPr>
          <w:rFonts w:ascii="Garamond" w:hAnsi="Garamond" w:cs="Times New Roman"/>
          <w:sz w:val="24"/>
          <w:szCs w:val="24"/>
        </w:rPr>
        <w:t>y</w:t>
      </w:r>
      <w:proofErr w:type="spellEnd"/>
      <w:r w:rsidR="000852F5">
        <w:rPr>
          <w:rFonts w:ascii="Garamond" w:hAnsi="Garamond" w:cs="Times New Roman"/>
          <w:sz w:val="24"/>
          <w:szCs w:val="24"/>
        </w:rPr>
        <w:t xml:space="preserve"> instaba a las entidades financieras a transmitir y expone información sobre su funcionamiento, curso etc. Se pretendía dar confianza y solidez al mercado bancario.</w:t>
      </w:r>
    </w:p>
    <w:p w14:paraId="3CD0C1BA" w14:textId="61A80CBA" w:rsidR="00ED02D3" w:rsidRPr="006544FD" w:rsidRDefault="00406FA8" w:rsidP="00AC1B36">
      <w:pPr>
        <w:spacing w:line="300" w:lineRule="auto"/>
        <w:rPr>
          <w:rFonts w:ascii="Garamond" w:hAnsi="Garamond" w:cs="Times New Roman"/>
          <w:sz w:val="24"/>
          <w:szCs w:val="24"/>
        </w:rPr>
      </w:pPr>
      <w:r w:rsidRPr="006544FD">
        <w:rPr>
          <w:rFonts w:ascii="Garamond" w:hAnsi="Garamond" w:cs="Times New Roman"/>
          <w:sz w:val="24"/>
          <w:szCs w:val="24"/>
        </w:rPr>
        <w:t xml:space="preserve">En </w:t>
      </w:r>
      <w:r w:rsidR="00082273" w:rsidRPr="006544FD">
        <w:rPr>
          <w:rFonts w:ascii="Garamond" w:hAnsi="Garamond" w:cs="Times New Roman"/>
          <w:sz w:val="24"/>
          <w:szCs w:val="24"/>
        </w:rPr>
        <w:t>resumen</w:t>
      </w:r>
      <w:r w:rsidRPr="006544FD">
        <w:rPr>
          <w:rFonts w:ascii="Garamond" w:hAnsi="Garamond" w:cs="Times New Roman"/>
          <w:sz w:val="24"/>
          <w:szCs w:val="24"/>
        </w:rPr>
        <w:t>,</w:t>
      </w:r>
      <w:r w:rsidR="00ED02D3" w:rsidRPr="006544FD">
        <w:rPr>
          <w:rFonts w:ascii="Garamond" w:hAnsi="Garamond" w:cs="Times New Roman"/>
          <w:sz w:val="24"/>
          <w:szCs w:val="24"/>
        </w:rPr>
        <w:t xml:space="preserve"> de Basilea I a Basilea II la regulación bancaria pasó, de esta forma, de un solo pilar a tres. Basilea II, aparte del refuerzo del pilar de </w:t>
      </w:r>
      <w:r w:rsidR="000852F5" w:rsidRPr="006544FD">
        <w:rPr>
          <w:rFonts w:ascii="Garamond" w:hAnsi="Garamond" w:cs="Times New Roman"/>
          <w:sz w:val="24"/>
          <w:szCs w:val="24"/>
        </w:rPr>
        <w:t>requerimiento</w:t>
      </w:r>
      <w:r w:rsidR="00ED02D3" w:rsidRPr="006544FD">
        <w:rPr>
          <w:rFonts w:ascii="Garamond" w:hAnsi="Garamond" w:cs="Times New Roman"/>
          <w:sz w:val="24"/>
          <w:szCs w:val="24"/>
        </w:rPr>
        <w:t xml:space="preserve"> de capital, incluía otros dos nuevos: el supervisor y el de disciplina de mercado. </w:t>
      </w:r>
      <w:r w:rsidR="00095EDA" w:rsidRPr="006544FD">
        <w:rPr>
          <w:rFonts w:ascii="Garamond" w:hAnsi="Garamond" w:cs="Times New Roman"/>
          <w:sz w:val="24"/>
          <w:szCs w:val="24"/>
        </w:rPr>
        <w:t xml:space="preserve">No obstante, </w:t>
      </w:r>
      <w:r w:rsidR="00C555DF" w:rsidRPr="006544FD">
        <w:rPr>
          <w:rFonts w:ascii="Garamond" w:hAnsi="Garamond" w:cs="Times New Roman"/>
          <w:sz w:val="24"/>
          <w:szCs w:val="24"/>
        </w:rPr>
        <w:t xml:space="preserve">como se antecedía, </w:t>
      </w:r>
      <w:r w:rsidR="00723B47">
        <w:rPr>
          <w:rFonts w:ascii="Garamond" w:hAnsi="Garamond" w:cs="Times New Roman"/>
          <w:sz w:val="24"/>
          <w:szCs w:val="24"/>
        </w:rPr>
        <w:t>e</w:t>
      </w:r>
      <w:r w:rsidR="00C555DF" w:rsidRPr="006544FD">
        <w:rPr>
          <w:rFonts w:ascii="Garamond" w:hAnsi="Garamond" w:cs="Times New Roman"/>
          <w:sz w:val="24"/>
          <w:szCs w:val="24"/>
        </w:rPr>
        <w:t>stas reformas llegaban tarde, los riesgos y conductas que se habían desarrollado desde mediados de los noventa habían generado una burbuja de dimensiones impresionantes. De los riesgos que pueden identificarse como generadores de la crisis, destacan tres principalmente:</w:t>
      </w:r>
    </w:p>
    <w:p w14:paraId="4C0F9DDD" w14:textId="7D8383C3" w:rsidR="00C555DF" w:rsidRPr="006544FD" w:rsidRDefault="00C555DF" w:rsidP="00AC1B36">
      <w:pPr>
        <w:pStyle w:val="Prrafodelista"/>
        <w:numPr>
          <w:ilvl w:val="0"/>
          <w:numId w:val="1"/>
        </w:numPr>
        <w:spacing w:line="300" w:lineRule="auto"/>
        <w:contextualSpacing w:val="0"/>
        <w:rPr>
          <w:rFonts w:ascii="Garamond" w:hAnsi="Garamond" w:cs="Times New Roman"/>
          <w:sz w:val="24"/>
          <w:szCs w:val="24"/>
        </w:rPr>
      </w:pPr>
      <w:r w:rsidRPr="006544FD">
        <w:rPr>
          <w:rFonts w:ascii="Garamond" w:hAnsi="Garamond" w:cs="Times New Roman"/>
          <w:sz w:val="24"/>
          <w:szCs w:val="24"/>
          <w:u w:val="single"/>
        </w:rPr>
        <w:t>Escasa diversificación de la cartera de inversión</w:t>
      </w:r>
      <w:r w:rsidRPr="006544FD">
        <w:rPr>
          <w:rFonts w:ascii="Garamond" w:hAnsi="Garamond" w:cs="Times New Roman"/>
          <w:sz w:val="24"/>
          <w:szCs w:val="24"/>
        </w:rPr>
        <w:t xml:space="preserve">. Las entidades de créditos en general, pero sobre todo las cajas de </w:t>
      </w:r>
      <w:r w:rsidR="00B74F26" w:rsidRPr="006544FD">
        <w:rPr>
          <w:rFonts w:ascii="Garamond" w:hAnsi="Garamond" w:cs="Times New Roman"/>
          <w:sz w:val="24"/>
          <w:szCs w:val="24"/>
        </w:rPr>
        <w:t>ahorro</w:t>
      </w:r>
      <w:r w:rsidRPr="006544FD">
        <w:rPr>
          <w:rFonts w:ascii="Garamond" w:hAnsi="Garamond" w:cs="Times New Roman"/>
          <w:sz w:val="24"/>
          <w:szCs w:val="24"/>
        </w:rPr>
        <w:t xml:space="preserve"> ligaron gran parte de su negocio al sector inmobiliario</w:t>
      </w:r>
      <w:r w:rsidR="00B74F26" w:rsidRPr="006544FD">
        <w:rPr>
          <w:rFonts w:ascii="Garamond" w:hAnsi="Garamond" w:cs="Times New Roman"/>
          <w:sz w:val="24"/>
          <w:szCs w:val="24"/>
        </w:rPr>
        <w:t>, lo que agravó la situación crítica en la que se encontraban.</w:t>
      </w:r>
    </w:p>
    <w:p w14:paraId="3F6ED0F8" w14:textId="5753997F" w:rsidR="001B7911" w:rsidRPr="006544FD" w:rsidRDefault="001B7911" w:rsidP="00AC1B36">
      <w:pPr>
        <w:pStyle w:val="Prrafodelista"/>
        <w:numPr>
          <w:ilvl w:val="0"/>
          <w:numId w:val="1"/>
        </w:numPr>
        <w:spacing w:line="300" w:lineRule="auto"/>
        <w:contextualSpacing w:val="0"/>
        <w:rPr>
          <w:rFonts w:ascii="Garamond" w:hAnsi="Garamond" w:cs="Times New Roman"/>
          <w:sz w:val="24"/>
          <w:szCs w:val="24"/>
        </w:rPr>
      </w:pPr>
      <w:r w:rsidRPr="006544FD">
        <w:rPr>
          <w:rFonts w:ascii="Garamond" w:hAnsi="Garamond" w:cs="Times New Roman"/>
          <w:sz w:val="24"/>
          <w:szCs w:val="24"/>
          <w:u w:val="single"/>
        </w:rPr>
        <w:t>Asimetrías de información y nula transparencia</w:t>
      </w:r>
      <w:r w:rsidRPr="006544FD">
        <w:rPr>
          <w:rFonts w:ascii="Garamond" w:hAnsi="Garamond" w:cs="Times New Roman"/>
          <w:sz w:val="24"/>
          <w:szCs w:val="24"/>
        </w:rPr>
        <w:t xml:space="preserve"> en la relación banca-cliente. Se crearon numerosos instrumentos de inversión, cada cual más complejo, que eran colocados en el mercado a clientes que desconocían los riesgos aparejados a cada </w:t>
      </w:r>
      <w:r w:rsidRPr="006544FD">
        <w:rPr>
          <w:rFonts w:ascii="Garamond" w:hAnsi="Garamond" w:cs="Times New Roman"/>
          <w:sz w:val="24"/>
          <w:szCs w:val="24"/>
        </w:rPr>
        <w:lastRenderedPageBreak/>
        <w:t xml:space="preserve">uno. Los mismos comercializadores, en ocasiones, desconocían el funcionamiento de los productos que vendían. La transparencia en la compraventa y la información al consumidor era prácticamente nula. </w:t>
      </w:r>
    </w:p>
    <w:p w14:paraId="6EE9D33D" w14:textId="77777777" w:rsidR="003D4642" w:rsidRDefault="001B7911" w:rsidP="00AC1B36">
      <w:pPr>
        <w:pStyle w:val="Prrafodelista"/>
        <w:numPr>
          <w:ilvl w:val="0"/>
          <w:numId w:val="1"/>
        </w:numPr>
        <w:spacing w:line="300" w:lineRule="auto"/>
        <w:contextualSpacing w:val="0"/>
        <w:rPr>
          <w:rFonts w:ascii="Garamond" w:hAnsi="Garamond" w:cs="Times New Roman"/>
          <w:sz w:val="24"/>
          <w:szCs w:val="24"/>
        </w:rPr>
      </w:pPr>
      <w:r w:rsidRPr="006544FD">
        <w:rPr>
          <w:rFonts w:ascii="Garamond" w:hAnsi="Garamond" w:cs="Times New Roman"/>
          <w:sz w:val="24"/>
          <w:szCs w:val="24"/>
          <w:u w:val="single"/>
        </w:rPr>
        <w:t>Confianza en el sistema</w:t>
      </w:r>
      <w:r w:rsidRPr="006544FD">
        <w:rPr>
          <w:rFonts w:ascii="Garamond" w:hAnsi="Garamond" w:cs="Times New Roman"/>
          <w:sz w:val="24"/>
          <w:szCs w:val="24"/>
        </w:rPr>
        <w:t>. Con los principales</w:t>
      </w:r>
      <w:r w:rsidR="00B74F26" w:rsidRPr="006544FD">
        <w:rPr>
          <w:rFonts w:ascii="Garamond" w:hAnsi="Garamond" w:cs="Times New Roman"/>
          <w:sz w:val="24"/>
          <w:szCs w:val="24"/>
        </w:rPr>
        <w:t xml:space="preserve"> indicios, en los días previos a la quiebra de Lehman Brother y el rescate de AIG, la desconfianza se fue apoderando de los agentes y, ante la ausencia de mecanismos de protección y/o contención</w:t>
      </w:r>
      <w:r w:rsidR="00CF2124" w:rsidRPr="006544FD">
        <w:rPr>
          <w:rFonts w:ascii="Garamond" w:hAnsi="Garamond" w:cs="Times New Roman"/>
          <w:sz w:val="24"/>
          <w:szCs w:val="24"/>
        </w:rPr>
        <w:t xml:space="preserve"> (véase la inexistencia de una supervisión </w:t>
      </w:r>
      <w:proofErr w:type="spellStart"/>
      <w:r w:rsidR="00CF2124" w:rsidRPr="006544FD">
        <w:rPr>
          <w:rFonts w:ascii="Garamond" w:hAnsi="Garamond" w:cs="Times New Roman"/>
          <w:sz w:val="24"/>
          <w:szCs w:val="24"/>
        </w:rPr>
        <w:t>macroprudencial</w:t>
      </w:r>
      <w:proofErr w:type="spellEnd"/>
      <w:r w:rsidR="00CF2124" w:rsidRPr="006544FD">
        <w:rPr>
          <w:rFonts w:ascii="Garamond" w:hAnsi="Garamond" w:cs="Times New Roman"/>
          <w:sz w:val="24"/>
          <w:szCs w:val="24"/>
        </w:rPr>
        <w:t>)</w:t>
      </w:r>
      <w:r w:rsidR="00B74F26" w:rsidRPr="006544FD">
        <w:rPr>
          <w:rFonts w:ascii="Garamond" w:hAnsi="Garamond" w:cs="Times New Roman"/>
          <w:sz w:val="24"/>
          <w:szCs w:val="24"/>
        </w:rPr>
        <w:t>, los mercados comenzaron a caer.</w:t>
      </w:r>
    </w:p>
    <w:p w14:paraId="12695F9B" w14:textId="1302D674" w:rsidR="00C555DF" w:rsidRPr="006544FD" w:rsidRDefault="00B74F26" w:rsidP="003D4642">
      <w:pPr>
        <w:pStyle w:val="Prrafodelista"/>
        <w:spacing w:line="300" w:lineRule="auto"/>
        <w:contextualSpacing w:val="0"/>
        <w:rPr>
          <w:rFonts w:ascii="Garamond" w:hAnsi="Garamond" w:cs="Times New Roman"/>
          <w:sz w:val="24"/>
          <w:szCs w:val="24"/>
        </w:rPr>
      </w:pPr>
      <w:r w:rsidRPr="006544FD">
        <w:rPr>
          <w:rFonts w:ascii="Garamond" w:hAnsi="Garamond" w:cs="Times New Roman"/>
          <w:sz w:val="24"/>
          <w:szCs w:val="24"/>
        </w:rPr>
        <w:t xml:space="preserve"> </w:t>
      </w:r>
    </w:p>
    <w:p w14:paraId="642A4740" w14:textId="69ACEC13" w:rsidR="00231D22" w:rsidRPr="00AC1B36" w:rsidRDefault="00231D22" w:rsidP="00AC1B36">
      <w:pPr>
        <w:pStyle w:val="Prrafodelista"/>
        <w:numPr>
          <w:ilvl w:val="0"/>
          <w:numId w:val="3"/>
        </w:numPr>
        <w:spacing w:line="25" w:lineRule="atLeast"/>
        <w:rPr>
          <w:rFonts w:ascii="Garamond" w:hAnsi="Garamond" w:cs="Times New Roman"/>
          <w:b/>
          <w:sz w:val="30"/>
          <w:szCs w:val="30"/>
        </w:rPr>
      </w:pPr>
      <w:r w:rsidRPr="00AC1B36">
        <w:rPr>
          <w:rFonts w:ascii="Garamond" w:hAnsi="Garamond" w:cs="Times New Roman"/>
          <w:b/>
          <w:sz w:val="30"/>
          <w:szCs w:val="30"/>
        </w:rPr>
        <w:t>Las reformas emprendidas en el seno de la crisis (20</w:t>
      </w:r>
      <w:r w:rsidR="00A40F24" w:rsidRPr="00AC1B36">
        <w:rPr>
          <w:rFonts w:ascii="Garamond" w:hAnsi="Garamond" w:cs="Times New Roman"/>
          <w:b/>
          <w:sz w:val="30"/>
          <w:szCs w:val="30"/>
        </w:rPr>
        <w:t>08</w:t>
      </w:r>
      <w:r w:rsidRPr="00AC1B36">
        <w:rPr>
          <w:rFonts w:ascii="Garamond" w:hAnsi="Garamond" w:cs="Times New Roman"/>
          <w:b/>
          <w:sz w:val="30"/>
          <w:szCs w:val="30"/>
        </w:rPr>
        <w:t>-2015) y el panorama actual</w:t>
      </w:r>
    </w:p>
    <w:p w14:paraId="163CA9A7" w14:textId="77777777" w:rsidR="00AC1B36" w:rsidRDefault="00AC1B36" w:rsidP="00AC1B36">
      <w:pPr>
        <w:spacing w:line="300" w:lineRule="auto"/>
        <w:rPr>
          <w:rFonts w:ascii="Garamond" w:hAnsi="Garamond" w:cs="Times New Roman"/>
          <w:sz w:val="24"/>
          <w:szCs w:val="24"/>
        </w:rPr>
      </w:pPr>
    </w:p>
    <w:p w14:paraId="2622A4EA" w14:textId="08BEAE98" w:rsidR="00D11956" w:rsidRPr="006544FD" w:rsidRDefault="00D11956" w:rsidP="00AC1B36">
      <w:pPr>
        <w:spacing w:line="300" w:lineRule="auto"/>
        <w:rPr>
          <w:rFonts w:ascii="Garamond" w:hAnsi="Garamond" w:cs="Times New Roman"/>
          <w:sz w:val="24"/>
          <w:szCs w:val="24"/>
        </w:rPr>
      </w:pPr>
      <w:r w:rsidRPr="006544FD">
        <w:rPr>
          <w:rFonts w:ascii="Garamond" w:hAnsi="Garamond" w:cs="Times New Roman"/>
          <w:sz w:val="24"/>
          <w:szCs w:val="24"/>
        </w:rPr>
        <w:t xml:space="preserve">La normativa previa al 2008 se caracterizaba por un amplio margen de autorregulación de las propias entidades de crédito tanto para la evaluación del riesgo como para su gestión, los requerimientos de capital, aunque si bien fueron reforzados por Basilea II, ni cubrían el porcentaje suficiente para hacer frente a posibles tensiones ni suponían una reforma en sí misma. Respecto a los organismos supervisores, adoptaban una posición “cómoda” de dejar que los bancos fuesen quienes evaluasen los riesgos y les remitiesen la información, supervisando cada entidad de forma singular. Coincidiendo con el advenimiento de la crisis financiera, se empieza a implantar la reforma del marco internacional de Basilea. Dichas medidas tenían como objetivo conseguir que las entidades financieras mejoren su capital mediante un aumento de los requerimientos de capital y, sobre todo, de su calidad. Es lo que se conocería (ahora) como Basilea III. Estas reformas se pueden diferenciarse entre las de contenido </w:t>
      </w:r>
      <w:proofErr w:type="spellStart"/>
      <w:r w:rsidRPr="006544FD">
        <w:rPr>
          <w:rFonts w:ascii="Garamond" w:hAnsi="Garamond" w:cs="Times New Roman"/>
          <w:sz w:val="24"/>
          <w:szCs w:val="24"/>
        </w:rPr>
        <w:t>microprudencial</w:t>
      </w:r>
      <w:proofErr w:type="spellEnd"/>
      <w:r w:rsidRPr="006544FD">
        <w:rPr>
          <w:rFonts w:ascii="Garamond" w:hAnsi="Garamond" w:cs="Times New Roman"/>
          <w:sz w:val="24"/>
          <w:szCs w:val="24"/>
        </w:rPr>
        <w:t xml:space="preserve"> y las de aspecto </w:t>
      </w:r>
      <w:proofErr w:type="spellStart"/>
      <w:r w:rsidRPr="006544FD">
        <w:rPr>
          <w:rFonts w:ascii="Garamond" w:hAnsi="Garamond" w:cs="Times New Roman"/>
          <w:sz w:val="24"/>
          <w:szCs w:val="24"/>
        </w:rPr>
        <w:t>macroprudencial</w:t>
      </w:r>
      <w:proofErr w:type="spellEnd"/>
      <w:r w:rsidRPr="006544FD">
        <w:rPr>
          <w:rFonts w:ascii="Garamond" w:hAnsi="Garamond" w:cs="Times New Roman"/>
          <w:sz w:val="24"/>
          <w:szCs w:val="24"/>
        </w:rPr>
        <w:t>.</w:t>
      </w:r>
    </w:p>
    <w:p w14:paraId="135133BA" w14:textId="40BD2706" w:rsidR="00C12128" w:rsidRPr="006544FD" w:rsidRDefault="003B4259" w:rsidP="00AC1B36">
      <w:pPr>
        <w:spacing w:line="300" w:lineRule="auto"/>
        <w:rPr>
          <w:rFonts w:ascii="Garamond" w:hAnsi="Garamond" w:cs="Times New Roman"/>
          <w:sz w:val="24"/>
          <w:szCs w:val="24"/>
        </w:rPr>
      </w:pPr>
      <w:r w:rsidRPr="006544FD">
        <w:rPr>
          <w:rFonts w:ascii="Garamond" w:hAnsi="Garamond" w:cs="Times New Roman"/>
          <w:sz w:val="24"/>
          <w:szCs w:val="24"/>
        </w:rPr>
        <w:t xml:space="preserve">En primer lugar, en términos de regulación </w:t>
      </w:r>
      <w:proofErr w:type="spellStart"/>
      <w:r w:rsidRPr="006544FD">
        <w:rPr>
          <w:rFonts w:ascii="Garamond" w:hAnsi="Garamond" w:cs="Times New Roman"/>
          <w:sz w:val="24"/>
          <w:szCs w:val="24"/>
        </w:rPr>
        <w:t>microprudencial</w:t>
      </w:r>
      <w:proofErr w:type="spellEnd"/>
      <w:r w:rsidRPr="006544FD">
        <w:rPr>
          <w:rFonts w:ascii="Garamond" w:hAnsi="Garamond" w:cs="Times New Roman"/>
          <w:sz w:val="24"/>
          <w:szCs w:val="24"/>
        </w:rPr>
        <w:t xml:space="preserve">, Basilea III reforzó la liquidez y la calidad del capital que las entidades debían poseer. Se requería un porcentaje del 6% para capital de nivel 1, del </w:t>
      </w:r>
      <w:proofErr w:type="spellStart"/>
      <w:r w:rsidRPr="006544FD">
        <w:rPr>
          <w:rFonts w:ascii="Garamond" w:hAnsi="Garamond" w:cs="Times New Roman"/>
          <w:sz w:val="24"/>
          <w:szCs w:val="24"/>
        </w:rPr>
        <w:t>cuál</w:t>
      </w:r>
      <w:proofErr w:type="spellEnd"/>
      <w:r w:rsidRPr="006544FD">
        <w:rPr>
          <w:rFonts w:ascii="Garamond" w:hAnsi="Garamond" w:cs="Times New Roman"/>
          <w:sz w:val="24"/>
          <w:szCs w:val="24"/>
        </w:rPr>
        <w:t xml:space="preserve"> al menos un 4,5% debía ser </w:t>
      </w:r>
      <w:proofErr w:type="spellStart"/>
      <w:r w:rsidRPr="006544FD">
        <w:rPr>
          <w:rFonts w:ascii="Garamond" w:hAnsi="Garamond" w:cs="Times New Roman"/>
          <w:sz w:val="24"/>
          <w:szCs w:val="24"/>
        </w:rPr>
        <w:t>Tier</w:t>
      </w:r>
      <w:proofErr w:type="spellEnd"/>
      <w:r w:rsidRPr="006544FD">
        <w:rPr>
          <w:rFonts w:ascii="Garamond" w:hAnsi="Garamond" w:cs="Times New Roman"/>
          <w:sz w:val="24"/>
          <w:szCs w:val="24"/>
        </w:rPr>
        <w:t xml:space="preserve"> 1 (es decir, el de mayor calidad).</w:t>
      </w:r>
      <w:r w:rsidR="009C2075" w:rsidRPr="006544FD">
        <w:rPr>
          <w:rFonts w:ascii="Garamond" w:hAnsi="Garamond" w:cs="Times New Roman"/>
          <w:sz w:val="24"/>
          <w:szCs w:val="24"/>
        </w:rPr>
        <w:t xml:space="preserve"> Recordemos que Basilea II no establecía un requerimiento concreto de </w:t>
      </w:r>
      <w:proofErr w:type="spellStart"/>
      <w:r w:rsidR="009C2075" w:rsidRPr="006544FD">
        <w:rPr>
          <w:rFonts w:ascii="Garamond" w:hAnsi="Garamond" w:cs="Times New Roman"/>
          <w:sz w:val="24"/>
          <w:szCs w:val="24"/>
        </w:rPr>
        <w:t>Tier</w:t>
      </w:r>
      <w:proofErr w:type="spellEnd"/>
      <w:r w:rsidR="009C2075" w:rsidRPr="006544FD">
        <w:rPr>
          <w:rFonts w:ascii="Garamond" w:hAnsi="Garamond" w:cs="Times New Roman"/>
          <w:sz w:val="24"/>
          <w:szCs w:val="24"/>
        </w:rPr>
        <w:t xml:space="preserve"> 1.</w:t>
      </w:r>
      <w:r w:rsidRPr="006544FD">
        <w:rPr>
          <w:rFonts w:ascii="Garamond" w:hAnsi="Garamond" w:cs="Times New Roman"/>
          <w:sz w:val="24"/>
          <w:szCs w:val="24"/>
        </w:rPr>
        <w:t xml:space="preserve"> </w:t>
      </w:r>
      <w:r w:rsidR="009C2075" w:rsidRPr="006544FD">
        <w:rPr>
          <w:rFonts w:ascii="Garamond" w:hAnsi="Garamond" w:cs="Times New Roman"/>
          <w:sz w:val="24"/>
          <w:szCs w:val="24"/>
        </w:rPr>
        <w:t xml:space="preserve">También se endurece las condiciones del capital de nivel </w:t>
      </w:r>
      <w:proofErr w:type="spellStart"/>
      <w:r w:rsidR="009C2075" w:rsidRPr="006544FD">
        <w:rPr>
          <w:rFonts w:ascii="Garamond" w:hAnsi="Garamond" w:cs="Times New Roman"/>
          <w:sz w:val="24"/>
          <w:szCs w:val="24"/>
        </w:rPr>
        <w:t>Tier</w:t>
      </w:r>
      <w:proofErr w:type="spellEnd"/>
      <w:r w:rsidR="009C2075" w:rsidRPr="006544FD">
        <w:rPr>
          <w:rFonts w:ascii="Garamond" w:hAnsi="Garamond" w:cs="Times New Roman"/>
          <w:sz w:val="24"/>
          <w:szCs w:val="24"/>
        </w:rPr>
        <w:t xml:space="preserve"> 2. </w:t>
      </w:r>
      <w:r w:rsidRPr="006544FD">
        <w:rPr>
          <w:rFonts w:ascii="Garamond" w:hAnsi="Garamond" w:cs="Times New Roman"/>
          <w:sz w:val="24"/>
          <w:szCs w:val="24"/>
        </w:rPr>
        <w:t>Además de ello, implantó un colchón adicional de</w:t>
      </w:r>
      <w:r w:rsidR="009C2075" w:rsidRPr="006544FD">
        <w:rPr>
          <w:rFonts w:ascii="Garamond" w:hAnsi="Garamond" w:cs="Times New Roman"/>
          <w:sz w:val="24"/>
          <w:szCs w:val="24"/>
        </w:rPr>
        <w:t xml:space="preserve"> conservación del 2,5% del importe total de activos ponderados por riesgo, para ratio de apalancamiento</w:t>
      </w:r>
      <w:r w:rsidR="00C12128" w:rsidRPr="006544FD">
        <w:rPr>
          <w:rFonts w:ascii="Garamond" w:hAnsi="Garamond" w:cs="Times New Roman"/>
          <w:sz w:val="24"/>
          <w:szCs w:val="24"/>
        </w:rPr>
        <w:t>. Igualmente, se incluyen dos nuevos instrumentos para la evaluación de la liquidez, la ratio de cobertura de liquidez y la ratio de financiación estable disponible.</w:t>
      </w:r>
    </w:p>
    <w:p w14:paraId="1177888E" w14:textId="06FD1710" w:rsidR="009C2075" w:rsidRPr="006544FD" w:rsidRDefault="009C2075" w:rsidP="00AC1B36">
      <w:pPr>
        <w:spacing w:line="300" w:lineRule="auto"/>
        <w:rPr>
          <w:rFonts w:ascii="Garamond" w:hAnsi="Garamond" w:cs="Times New Roman"/>
          <w:sz w:val="24"/>
          <w:szCs w:val="24"/>
        </w:rPr>
      </w:pPr>
      <w:r w:rsidRPr="006544FD">
        <w:rPr>
          <w:rFonts w:ascii="Garamond" w:hAnsi="Garamond" w:cs="Times New Roman"/>
          <w:sz w:val="24"/>
          <w:szCs w:val="24"/>
        </w:rPr>
        <w:t xml:space="preserve">En segundo lugar, frente a la inexistencia en la regulación previa de una supervisión </w:t>
      </w:r>
      <w:proofErr w:type="spellStart"/>
      <w:r w:rsidRPr="006544FD">
        <w:rPr>
          <w:rFonts w:ascii="Garamond" w:hAnsi="Garamond" w:cs="Times New Roman"/>
          <w:sz w:val="24"/>
          <w:szCs w:val="24"/>
        </w:rPr>
        <w:t>macroprudencial</w:t>
      </w:r>
      <w:proofErr w:type="spellEnd"/>
      <w:r w:rsidRPr="006544FD">
        <w:rPr>
          <w:rFonts w:ascii="Garamond" w:hAnsi="Garamond" w:cs="Times New Roman"/>
          <w:sz w:val="24"/>
          <w:szCs w:val="24"/>
        </w:rPr>
        <w:t>, es decir, del sistema en general. Basilea III pone su foco en ella con la implantación de los colchones anticíclicos y el ‘adicional’ para entidades sistémicas (recargos entre el 1 y el 3,5% de capital nivel 1 ordinario).</w:t>
      </w:r>
      <w:r w:rsidR="00BB52CE" w:rsidRPr="006544FD">
        <w:rPr>
          <w:rFonts w:ascii="Garamond" w:hAnsi="Garamond" w:cs="Times New Roman"/>
          <w:sz w:val="24"/>
          <w:szCs w:val="24"/>
        </w:rPr>
        <w:t xml:space="preserve"> </w:t>
      </w:r>
      <w:r w:rsidR="00723B47">
        <w:rPr>
          <w:rFonts w:ascii="Garamond" w:hAnsi="Garamond" w:cs="Times New Roman"/>
          <w:sz w:val="24"/>
          <w:szCs w:val="24"/>
        </w:rPr>
        <w:t>E</w:t>
      </w:r>
      <w:r w:rsidR="00C12128" w:rsidRPr="006544FD">
        <w:rPr>
          <w:rFonts w:ascii="Garamond" w:hAnsi="Garamond" w:cs="Times New Roman"/>
          <w:sz w:val="24"/>
          <w:szCs w:val="24"/>
        </w:rPr>
        <w:t xml:space="preserve">ste último requerimiento respondía a la tesis conocida como </w:t>
      </w:r>
      <w:proofErr w:type="spellStart"/>
      <w:r w:rsidR="00C12128" w:rsidRPr="006544FD">
        <w:rPr>
          <w:rFonts w:ascii="Garamond" w:hAnsi="Garamond" w:cs="Times New Roman"/>
          <w:i/>
          <w:sz w:val="24"/>
          <w:szCs w:val="24"/>
        </w:rPr>
        <w:t>too</w:t>
      </w:r>
      <w:proofErr w:type="spellEnd"/>
      <w:r w:rsidR="00C12128" w:rsidRPr="006544FD">
        <w:rPr>
          <w:rFonts w:ascii="Garamond" w:hAnsi="Garamond" w:cs="Times New Roman"/>
          <w:i/>
          <w:sz w:val="24"/>
          <w:szCs w:val="24"/>
        </w:rPr>
        <w:t xml:space="preserve"> </w:t>
      </w:r>
      <w:proofErr w:type="spellStart"/>
      <w:r w:rsidR="00C12128" w:rsidRPr="006544FD">
        <w:rPr>
          <w:rFonts w:ascii="Garamond" w:hAnsi="Garamond" w:cs="Times New Roman"/>
          <w:i/>
          <w:sz w:val="24"/>
          <w:szCs w:val="24"/>
        </w:rPr>
        <w:t>big</w:t>
      </w:r>
      <w:proofErr w:type="spellEnd"/>
      <w:r w:rsidR="00C12128" w:rsidRPr="006544FD">
        <w:rPr>
          <w:rFonts w:ascii="Garamond" w:hAnsi="Garamond" w:cs="Times New Roman"/>
          <w:i/>
          <w:sz w:val="24"/>
          <w:szCs w:val="24"/>
        </w:rPr>
        <w:t xml:space="preserve"> </w:t>
      </w:r>
      <w:proofErr w:type="spellStart"/>
      <w:r w:rsidR="00C12128" w:rsidRPr="006544FD">
        <w:rPr>
          <w:rFonts w:ascii="Garamond" w:hAnsi="Garamond" w:cs="Times New Roman"/>
          <w:i/>
          <w:sz w:val="24"/>
          <w:szCs w:val="24"/>
        </w:rPr>
        <w:t>to</w:t>
      </w:r>
      <w:proofErr w:type="spellEnd"/>
      <w:r w:rsidR="00C12128" w:rsidRPr="006544FD">
        <w:rPr>
          <w:rFonts w:ascii="Garamond" w:hAnsi="Garamond" w:cs="Times New Roman"/>
          <w:i/>
          <w:sz w:val="24"/>
          <w:szCs w:val="24"/>
        </w:rPr>
        <w:t xml:space="preserve"> </w:t>
      </w:r>
      <w:proofErr w:type="spellStart"/>
      <w:r w:rsidR="00C12128" w:rsidRPr="006544FD">
        <w:rPr>
          <w:rFonts w:ascii="Garamond" w:hAnsi="Garamond" w:cs="Times New Roman"/>
          <w:i/>
          <w:sz w:val="24"/>
          <w:szCs w:val="24"/>
        </w:rPr>
        <w:t>fail</w:t>
      </w:r>
      <w:proofErr w:type="spellEnd"/>
      <w:r w:rsidR="00C12128" w:rsidRPr="006544FD">
        <w:rPr>
          <w:rFonts w:ascii="Garamond" w:hAnsi="Garamond" w:cs="Times New Roman"/>
          <w:i/>
          <w:sz w:val="24"/>
          <w:szCs w:val="24"/>
        </w:rPr>
        <w:t xml:space="preserve">, </w:t>
      </w:r>
      <w:r w:rsidR="00C12128" w:rsidRPr="006544FD">
        <w:rPr>
          <w:rFonts w:ascii="Garamond" w:hAnsi="Garamond" w:cs="Times New Roman"/>
          <w:sz w:val="24"/>
          <w:szCs w:val="24"/>
        </w:rPr>
        <w:t xml:space="preserve">según la cual, habría un determinado número de entidades </w:t>
      </w:r>
      <w:r w:rsidR="00C12128" w:rsidRPr="006544FD">
        <w:rPr>
          <w:rFonts w:ascii="Garamond" w:hAnsi="Garamond" w:cs="Times New Roman"/>
          <w:sz w:val="24"/>
          <w:szCs w:val="24"/>
        </w:rPr>
        <w:lastRenderedPageBreak/>
        <w:t>(en España</w:t>
      </w:r>
      <w:r w:rsidR="00C12128" w:rsidRPr="006544FD">
        <w:rPr>
          <w:rStyle w:val="Refdenotaalpie"/>
          <w:rFonts w:ascii="Garamond" w:hAnsi="Garamond" w:cs="Times New Roman"/>
          <w:sz w:val="24"/>
          <w:szCs w:val="24"/>
        </w:rPr>
        <w:footnoteReference w:id="12"/>
      </w:r>
      <w:r w:rsidR="00C12128" w:rsidRPr="006544FD">
        <w:rPr>
          <w:rFonts w:ascii="Garamond" w:hAnsi="Garamond" w:cs="Times New Roman"/>
          <w:sz w:val="24"/>
          <w:szCs w:val="24"/>
        </w:rPr>
        <w:t>, serían Banco Santander, BBVA, CaixaBank, Sabadell y Bankia) que, dada su dimensión, si entrasen en problemas, supondrían un grave riesgo para el sistema</w:t>
      </w:r>
      <w:r w:rsidR="001136E7" w:rsidRPr="006544FD">
        <w:rPr>
          <w:rFonts w:ascii="Garamond" w:hAnsi="Garamond" w:cs="Times New Roman"/>
          <w:sz w:val="24"/>
          <w:szCs w:val="24"/>
        </w:rPr>
        <w:t>; de ahí, que no debieran dejarse quebrar</w:t>
      </w:r>
      <w:r w:rsidR="00C12128" w:rsidRPr="006544FD">
        <w:rPr>
          <w:rFonts w:ascii="Garamond" w:hAnsi="Garamond" w:cs="Times New Roman"/>
          <w:sz w:val="24"/>
          <w:szCs w:val="24"/>
        </w:rPr>
        <w:t xml:space="preserve">. </w:t>
      </w:r>
      <w:r w:rsidR="00BB52CE" w:rsidRPr="006544FD">
        <w:rPr>
          <w:rFonts w:ascii="Garamond" w:hAnsi="Garamond" w:cs="Times New Roman"/>
          <w:sz w:val="24"/>
          <w:szCs w:val="24"/>
        </w:rPr>
        <w:t>En la Unión Europea, el órgano con atribuciones</w:t>
      </w:r>
      <w:r w:rsidR="00D85156" w:rsidRPr="006544FD">
        <w:rPr>
          <w:rFonts w:ascii="Garamond" w:hAnsi="Garamond" w:cs="Times New Roman"/>
          <w:sz w:val="24"/>
          <w:szCs w:val="24"/>
        </w:rPr>
        <w:t xml:space="preserve"> </w:t>
      </w:r>
      <w:r w:rsidR="00BB52CE" w:rsidRPr="006544FD">
        <w:rPr>
          <w:rFonts w:ascii="Garamond" w:hAnsi="Garamond" w:cs="Times New Roman"/>
          <w:sz w:val="24"/>
          <w:szCs w:val="24"/>
        </w:rPr>
        <w:t>sobre esta supervisión sería la mencionada ESRB</w:t>
      </w:r>
      <w:r w:rsidR="00D85156" w:rsidRPr="006544FD">
        <w:rPr>
          <w:rStyle w:val="Refdenotaalpie"/>
          <w:rFonts w:ascii="Garamond" w:hAnsi="Garamond" w:cs="Times New Roman"/>
          <w:sz w:val="24"/>
          <w:szCs w:val="24"/>
        </w:rPr>
        <w:footnoteReference w:id="13"/>
      </w:r>
      <w:r w:rsidR="00BB52CE" w:rsidRPr="006544FD">
        <w:rPr>
          <w:rFonts w:ascii="Garamond" w:hAnsi="Garamond" w:cs="Times New Roman"/>
          <w:sz w:val="24"/>
          <w:szCs w:val="24"/>
        </w:rPr>
        <w:t xml:space="preserve"> (JERS, en español)</w:t>
      </w:r>
      <w:r w:rsidR="00D85156" w:rsidRPr="006544FD">
        <w:rPr>
          <w:rFonts w:ascii="Garamond" w:hAnsi="Garamond" w:cs="Times New Roman"/>
          <w:sz w:val="24"/>
          <w:szCs w:val="24"/>
        </w:rPr>
        <w:t>, aunque son los supervisores nacionales quienes realizan la aplicación material. No obstante, pese a que sea la autoridad nacional (Banco de España, en nuestro caso), la ESRB puede emitir avisos y recomendaciones</w:t>
      </w:r>
      <w:r w:rsidR="00D85156" w:rsidRPr="006544FD">
        <w:rPr>
          <w:rStyle w:val="Refdenotaalpie"/>
          <w:rFonts w:ascii="Garamond" w:hAnsi="Garamond" w:cs="Times New Roman"/>
          <w:sz w:val="24"/>
          <w:szCs w:val="24"/>
        </w:rPr>
        <w:footnoteReference w:id="14"/>
      </w:r>
      <w:r w:rsidR="00C12128" w:rsidRPr="006544FD">
        <w:rPr>
          <w:rFonts w:ascii="Garamond" w:hAnsi="Garamond" w:cs="Times New Roman"/>
          <w:sz w:val="24"/>
          <w:szCs w:val="24"/>
        </w:rPr>
        <w:t xml:space="preserve">. </w:t>
      </w:r>
    </w:p>
    <w:p w14:paraId="28710ADB" w14:textId="0C4F170B" w:rsidR="001136E7" w:rsidRPr="006544FD" w:rsidRDefault="00C20FB9" w:rsidP="00AC1B36">
      <w:pPr>
        <w:spacing w:line="300" w:lineRule="auto"/>
        <w:rPr>
          <w:rFonts w:ascii="Garamond" w:hAnsi="Garamond" w:cs="Times New Roman"/>
          <w:sz w:val="24"/>
          <w:szCs w:val="24"/>
        </w:rPr>
      </w:pPr>
      <w:r w:rsidRPr="006544FD">
        <w:rPr>
          <w:rFonts w:ascii="Garamond" w:hAnsi="Garamond" w:cs="Times New Roman"/>
          <w:sz w:val="24"/>
          <w:szCs w:val="24"/>
        </w:rPr>
        <w:t xml:space="preserve">De esta forma, el marco normativo europeo y, por ende, </w:t>
      </w:r>
      <w:r w:rsidR="00BB1D4A" w:rsidRPr="006544FD">
        <w:rPr>
          <w:rFonts w:ascii="Garamond" w:hAnsi="Garamond" w:cs="Times New Roman"/>
          <w:sz w:val="24"/>
          <w:szCs w:val="24"/>
        </w:rPr>
        <w:t xml:space="preserve">el </w:t>
      </w:r>
      <w:r w:rsidRPr="006544FD">
        <w:rPr>
          <w:rFonts w:ascii="Garamond" w:hAnsi="Garamond" w:cs="Times New Roman"/>
          <w:sz w:val="24"/>
          <w:szCs w:val="24"/>
        </w:rPr>
        <w:t>español, sufría</w:t>
      </w:r>
      <w:r w:rsidR="00BB1D4A" w:rsidRPr="006544FD">
        <w:rPr>
          <w:rFonts w:ascii="Garamond" w:hAnsi="Garamond" w:cs="Times New Roman"/>
          <w:sz w:val="24"/>
          <w:szCs w:val="24"/>
        </w:rPr>
        <w:t>n</w:t>
      </w:r>
      <w:r w:rsidRPr="006544FD">
        <w:rPr>
          <w:rFonts w:ascii="Garamond" w:hAnsi="Garamond" w:cs="Times New Roman"/>
          <w:sz w:val="24"/>
          <w:szCs w:val="24"/>
        </w:rPr>
        <w:t xml:space="preserve"> durante los años de la crisis, una doble reforma: la implantación de Basilea III y la reforma institucional que la UE emprendía a fin de garantizar el cumplimiento de los estándares de Basilea y, con ello, la consecución de una Unión Bancaria</w:t>
      </w:r>
      <w:r w:rsidR="00A40F24" w:rsidRPr="006544FD">
        <w:rPr>
          <w:rFonts w:ascii="Garamond" w:hAnsi="Garamond" w:cs="Times New Roman"/>
          <w:sz w:val="24"/>
          <w:szCs w:val="24"/>
        </w:rPr>
        <w:t xml:space="preserve"> Europea</w:t>
      </w:r>
      <w:r w:rsidRPr="006544FD">
        <w:rPr>
          <w:rFonts w:ascii="Garamond" w:hAnsi="Garamond" w:cs="Times New Roman"/>
          <w:sz w:val="24"/>
          <w:szCs w:val="24"/>
        </w:rPr>
        <w:t xml:space="preserve">. </w:t>
      </w:r>
    </w:p>
    <w:p w14:paraId="5E843E6B" w14:textId="03CC0BEB" w:rsidR="00B74F26" w:rsidRPr="006544FD" w:rsidRDefault="00F65BDE" w:rsidP="00AC1B36">
      <w:pPr>
        <w:spacing w:line="300" w:lineRule="auto"/>
        <w:rPr>
          <w:rFonts w:ascii="Garamond" w:hAnsi="Garamond" w:cs="Times New Roman"/>
          <w:sz w:val="24"/>
          <w:szCs w:val="24"/>
        </w:rPr>
      </w:pPr>
      <w:r w:rsidRPr="006544FD">
        <w:rPr>
          <w:rFonts w:ascii="Garamond" w:hAnsi="Garamond" w:cs="Times New Roman"/>
          <w:sz w:val="24"/>
          <w:szCs w:val="24"/>
        </w:rPr>
        <w:t xml:space="preserve">En el marco de estas reformas en el seno de la Unión Europea fueron, sin duda, imprescindibles las conclusiones del Informe </w:t>
      </w:r>
      <w:proofErr w:type="spellStart"/>
      <w:r w:rsidRPr="006544FD">
        <w:rPr>
          <w:rFonts w:ascii="Garamond" w:hAnsi="Garamond" w:cs="Times New Roman"/>
          <w:sz w:val="24"/>
          <w:szCs w:val="24"/>
        </w:rPr>
        <w:t>Larosière</w:t>
      </w:r>
      <w:proofErr w:type="spellEnd"/>
      <w:r w:rsidRPr="006544FD">
        <w:rPr>
          <w:rStyle w:val="Refdenotaalpie"/>
          <w:rFonts w:ascii="Garamond" w:hAnsi="Garamond" w:cs="Times New Roman"/>
          <w:sz w:val="24"/>
          <w:szCs w:val="24"/>
        </w:rPr>
        <w:footnoteReference w:id="15"/>
      </w:r>
      <w:r w:rsidRPr="006544FD">
        <w:rPr>
          <w:rFonts w:ascii="Garamond" w:hAnsi="Garamond" w:cs="Times New Roman"/>
          <w:sz w:val="24"/>
          <w:szCs w:val="24"/>
        </w:rPr>
        <w:t>, el cual dibu</w:t>
      </w:r>
      <w:r w:rsidR="00A4647A" w:rsidRPr="006544FD">
        <w:rPr>
          <w:rFonts w:ascii="Garamond" w:hAnsi="Garamond" w:cs="Times New Roman"/>
          <w:sz w:val="24"/>
          <w:szCs w:val="24"/>
        </w:rPr>
        <w:t>jó</w:t>
      </w:r>
      <w:r w:rsidRPr="006544FD">
        <w:rPr>
          <w:rFonts w:ascii="Garamond" w:hAnsi="Garamond" w:cs="Times New Roman"/>
          <w:sz w:val="24"/>
          <w:szCs w:val="24"/>
        </w:rPr>
        <w:t xml:space="preserve"> el actual arquetipo institucional del funcionamiento del sistema bancario europeo. </w:t>
      </w:r>
    </w:p>
    <w:p w14:paraId="76EC5B41" w14:textId="4DDE0A3C" w:rsidR="00A13A6E" w:rsidRPr="006544FD" w:rsidRDefault="00A13A6E" w:rsidP="00AC1B36">
      <w:pPr>
        <w:spacing w:line="300" w:lineRule="auto"/>
        <w:rPr>
          <w:rFonts w:ascii="Garamond" w:hAnsi="Garamond"/>
          <w:noProof/>
          <w:sz w:val="24"/>
          <w:szCs w:val="24"/>
        </w:rPr>
      </w:pPr>
    </w:p>
    <w:p w14:paraId="1ADCB44D" w14:textId="6AD40E2C" w:rsidR="00F83AB8" w:rsidRPr="006544FD" w:rsidRDefault="00F83AB8" w:rsidP="00AC1B36">
      <w:pPr>
        <w:spacing w:line="300" w:lineRule="auto"/>
        <w:rPr>
          <w:rFonts w:ascii="Garamond" w:hAnsi="Garamond" w:cs="Times New Roman"/>
          <w:sz w:val="24"/>
          <w:szCs w:val="24"/>
        </w:rPr>
      </w:pPr>
    </w:p>
    <w:p w14:paraId="07BD1A96" w14:textId="0EE1CBB2" w:rsidR="00F65BDE" w:rsidRPr="006544FD" w:rsidRDefault="00F65BDE" w:rsidP="00AC1B36">
      <w:pPr>
        <w:spacing w:line="300" w:lineRule="auto"/>
        <w:rPr>
          <w:rFonts w:ascii="Garamond" w:hAnsi="Garamond" w:cs="Times New Roman"/>
          <w:sz w:val="24"/>
          <w:szCs w:val="24"/>
        </w:rPr>
      </w:pPr>
    </w:p>
    <w:p w14:paraId="0970B80C" w14:textId="77777777" w:rsidR="003E3487" w:rsidRPr="006544FD" w:rsidRDefault="003E3487" w:rsidP="00AC1B36">
      <w:pPr>
        <w:spacing w:line="300" w:lineRule="auto"/>
        <w:rPr>
          <w:rFonts w:ascii="Garamond" w:hAnsi="Garamond" w:cs="Times New Roman"/>
          <w:sz w:val="24"/>
          <w:szCs w:val="24"/>
        </w:rPr>
      </w:pPr>
    </w:p>
    <w:p w14:paraId="0670AB9F" w14:textId="5F47DB0E" w:rsidR="001136E7" w:rsidRPr="00AC1B36" w:rsidRDefault="003E3487" w:rsidP="00AC1B36">
      <w:pPr>
        <w:spacing w:line="300" w:lineRule="auto"/>
        <w:rPr>
          <w:rFonts w:ascii="Garamond" w:hAnsi="Garamond" w:cs="Times New Roman"/>
          <w:sz w:val="20"/>
          <w:szCs w:val="24"/>
        </w:rPr>
      </w:pPr>
      <w:r w:rsidRPr="006544FD">
        <w:rPr>
          <w:rFonts w:ascii="Garamond" w:hAnsi="Garamond"/>
          <w:noProof/>
          <w:sz w:val="24"/>
          <w:szCs w:val="24"/>
          <w:lang w:eastAsia="es-ES"/>
        </w:rPr>
        <w:drawing>
          <wp:anchor distT="0" distB="0" distL="114300" distR="114300" simplePos="0" relativeHeight="251658240" behindDoc="0" locked="0" layoutInCell="1" allowOverlap="1" wp14:anchorId="79246AB8" wp14:editId="63306F82">
            <wp:simplePos x="0" y="0"/>
            <wp:positionH relativeFrom="margin">
              <wp:posOffset>-476132</wp:posOffset>
            </wp:positionH>
            <wp:positionV relativeFrom="page">
              <wp:posOffset>910132</wp:posOffset>
            </wp:positionV>
            <wp:extent cx="6396355" cy="3977640"/>
            <wp:effectExtent l="0" t="0" r="4445" b="381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96355" cy="3977640"/>
                    </a:xfrm>
                    <a:prstGeom prst="rect">
                      <a:avLst/>
                    </a:prstGeom>
                    <a:noFill/>
                    <a:ln>
                      <a:noFill/>
                    </a:ln>
                  </pic:spPr>
                </pic:pic>
              </a:graphicData>
            </a:graphic>
            <wp14:sizeRelH relativeFrom="page">
              <wp14:pctWidth>0</wp14:pctWidth>
            </wp14:sizeRelH>
            <wp14:sizeRelV relativeFrom="page">
              <wp14:pctHeight>0</wp14:pctHeight>
            </wp14:sizeRelV>
          </wp:anchor>
        </w:drawing>
      </w:r>
      <w:r w:rsidR="00A4647A" w:rsidRPr="00AC1B36">
        <w:rPr>
          <w:rFonts w:ascii="Garamond" w:hAnsi="Garamond" w:cs="Times New Roman"/>
          <w:sz w:val="20"/>
          <w:szCs w:val="24"/>
        </w:rPr>
        <w:t>Elaboración propia.</w:t>
      </w:r>
    </w:p>
    <w:p w14:paraId="1FA9C448" w14:textId="77777777" w:rsidR="00F83AB8" w:rsidRPr="006544FD" w:rsidRDefault="00F83AB8" w:rsidP="00AC1B36">
      <w:pPr>
        <w:spacing w:line="300" w:lineRule="auto"/>
        <w:rPr>
          <w:rFonts w:ascii="Garamond" w:hAnsi="Garamond" w:cs="Times New Roman"/>
          <w:sz w:val="24"/>
          <w:szCs w:val="24"/>
        </w:rPr>
      </w:pPr>
    </w:p>
    <w:p w14:paraId="338CBF95" w14:textId="152AC661" w:rsidR="00F83AB8" w:rsidRPr="006544FD" w:rsidRDefault="001B278D" w:rsidP="00AC1B36">
      <w:pPr>
        <w:spacing w:line="300" w:lineRule="auto"/>
        <w:rPr>
          <w:rFonts w:ascii="Garamond" w:hAnsi="Garamond" w:cs="Times New Roman"/>
          <w:sz w:val="24"/>
          <w:szCs w:val="24"/>
        </w:rPr>
      </w:pPr>
      <w:r w:rsidRPr="006544FD">
        <w:rPr>
          <w:rFonts w:ascii="Garamond" w:hAnsi="Garamond" w:cs="Times New Roman"/>
          <w:sz w:val="24"/>
          <w:szCs w:val="24"/>
        </w:rPr>
        <w:t xml:space="preserve">Para comprender el funcionamiento del sistema de regulación y supervisión bancaria (en el marco de la UE) ha de partirse de la idea de que, salvo el Banco Central Europeo y los bancos centrales nacionales, todos los órganos son de reciente creación. El Banco Central Europeo es responsable de la estabilidad monetaria y, además, se constituye en origen como el supervisor bancario europeo. Desde la cúspide piramidal de la supervisión bancaria, se entrelaza </w:t>
      </w:r>
      <w:r w:rsidR="00F83AB8" w:rsidRPr="006544FD">
        <w:rPr>
          <w:rFonts w:ascii="Garamond" w:hAnsi="Garamond" w:cs="Times New Roman"/>
          <w:sz w:val="24"/>
          <w:szCs w:val="24"/>
        </w:rPr>
        <w:t xml:space="preserve">(el BCE) </w:t>
      </w:r>
      <w:r w:rsidRPr="006544FD">
        <w:rPr>
          <w:rFonts w:ascii="Garamond" w:hAnsi="Garamond" w:cs="Times New Roman"/>
          <w:sz w:val="24"/>
          <w:szCs w:val="24"/>
        </w:rPr>
        <w:t xml:space="preserve">con el resto de </w:t>
      </w:r>
      <w:r w:rsidR="00AC1B36" w:rsidRPr="006544FD">
        <w:rPr>
          <w:rFonts w:ascii="Garamond" w:hAnsi="Garamond" w:cs="Times New Roman"/>
          <w:sz w:val="24"/>
          <w:szCs w:val="24"/>
        </w:rPr>
        <w:t>los órganos</w:t>
      </w:r>
      <w:r w:rsidRPr="006544FD">
        <w:rPr>
          <w:rFonts w:ascii="Garamond" w:hAnsi="Garamond" w:cs="Times New Roman"/>
          <w:sz w:val="24"/>
          <w:szCs w:val="24"/>
        </w:rPr>
        <w:t xml:space="preserve"> prudenciales y supervisores creados (véase por ejemplo que, el presidente del BCE lo es también de la JERS)</w:t>
      </w:r>
      <w:r w:rsidR="00F83AB8" w:rsidRPr="006544FD">
        <w:rPr>
          <w:rFonts w:ascii="Garamond" w:hAnsi="Garamond" w:cs="Times New Roman"/>
          <w:sz w:val="24"/>
          <w:szCs w:val="24"/>
        </w:rPr>
        <w:t>.</w:t>
      </w:r>
    </w:p>
    <w:p w14:paraId="72DB8DCA" w14:textId="47A8FFEA" w:rsidR="002D79AC" w:rsidRPr="006544FD" w:rsidRDefault="003370D9" w:rsidP="00AC1B36">
      <w:pPr>
        <w:spacing w:line="300" w:lineRule="auto"/>
        <w:rPr>
          <w:rFonts w:ascii="Garamond" w:hAnsi="Garamond" w:cs="Times New Roman"/>
          <w:sz w:val="24"/>
          <w:szCs w:val="24"/>
        </w:rPr>
      </w:pPr>
      <w:r w:rsidRPr="006544FD">
        <w:rPr>
          <w:rFonts w:ascii="Garamond" w:hAnsi="Garamond" w:cs="Times New Roman"/>
          <w:sz w:val="24"/>
          <w:szCs w:val="24"/>
        </w:rPr>
        <w:t xml:space="preserve">Aunque el BCE sea la cúspide, los órganos de supervisión </w:t>
      </w:r>
      <w:proofErr w:type="spellStart"/>
      <w:r w:rsidRPr="006544FD">
        <w:rPr>
          <w:rFonts w:ascii="Garamond" w:hAnsi="Garamond" w:cs="Times New Roman"/>
          <w:sz w:val="24"/>
          <w:szCs w:val="24"/>
        </w:rPr>
        <w:t>microprudencial</w:t>
      </w:r>
      <w:proofErr w:type="spellEnd"/>
      <w:r w:rsidRPr="006544FD">
        <w:rPr>
          <w:rFonts w:ascii="Garamond" w:hAnsi="Garamond" w:cs="Times New Roman"/>
          <w:sz w:val="24"/>
          <w:szCs w:val="24"/>
        </w:rPr>
        <w:t xml:space="preserve"> y </w:t>
      </w:r>
      <w:proofErr w:type="spellStart"/>
      <w:r w:rsidRPr="006544FD">
        <w:rPr>
          <w:rFonts w:ascii="Garamond" w:hAnsi="Garamond" w:cs="Times New Roman"/>
          <w:sz w:val="24"/>
          <w:szCs w:val="24"/>
        </w:rPr>
        <w:t>macroprudencial</w:t>
      </w:r>
      <w:proofErr w:type="spellEnd"/>
      <w:r w:rsidRPr="006544FD">
        <w:rPr>
          <w:rFonts w:ascii="Garamond" w:hAnsi="Garamond" w:cs="Times New Roman"/>
          <w:sz w:val="24"/>
          <w:szCs w:val="24"/>
        </w:rPr>
        <w:t xml:space="preserve"> se ordenan conformando el Sistema Europeo de Supervisión Financiera (SESF)</w:t>
      </w:r>
      <w:r w:rsidR="002D79AC" w:rsidRPr="006544FD">
        <w:rPr>
          <w:rFonts w:ascii="Garamond" w:hAnsi="Garamond" w:cs="Times New Roman"/>
          <w:sz w:val="24"/>
          <w:szCs w:val="24"/>
        </w:rPr>
        <w:t>, creada en 2010 y en marcha desde 2011</w:t>
      </w:r>
      <w:r w:rsidRPr="006544FD">
        <w:rPr>
          <w:rFonts w:ascii="Garamond" w:hAnsi="Garamond" w:cs="Times New Roman"/>
          <w:sz w:val="24"/>
          <w:szCs w:val="24"/>
        </w:rPr>
        <w:t xml:space="preserve">. De él salen las distintas autoridades de </w:t>
      </w:r>
      <w:r w:rsidRPr="006544FD">
        <w:rPr>
          <w:rFonts w:ascii="Garamond" w:hAnsi="Garamond" w:cs="Times New Roman"/>
          <w:sz w:val="24"/>
          <w:szCs w:val="24"/>
        </w:rPr>
        <w:lastRenderedPageBreak/>
        <w:t>supervisión, como puede ser la ABE</w:t>
      </w:r>
      <w:r w:rsidRPr="006544FD">
        <w:rPr>
          <w:rStyle w:val="Refdenotaalpie"/>
          <w:rFonts w:ascii="Garamond" w:hAnsi="Garamond" w:cs="Times New Roman"/>
          <w:sz w:val="24"/>
          <w:szCs w:val="24"/>
        </w:rPr>
        <w:footnoteReference w:id="16"/>
      </w:r>
      <w:r w:rsidRPr="006544FD">
        <w:rPr>
          <w:rFonts w:ascii="Garamond" w:hAnsi="Garamond" w:cs="Times New Roman"/>
          <w:sz w:val="24"/>
          <w:szCs w:val="24"/>
        </w:rPr>
        <w:t xml:space="preserve"> o ESMA</w:t>
      </w:r>
      <w:r w:rsidRPr="006544FD">
        <w:rPr>
          <w:rStyle w:val="Refdenotaalpie"/>
          <w:rFonts w:ascii="Garamond" w:hAnsi="Garamond" w:cs="Times New Roman"/>
          <w:sz w:val="24"/>
          <w:szCs w:val="24"/>
        </w:rPr>
        <w:footnoteReference w:id="17"/>
      </w:r>
      <w:r w:rsidRPr="006544FD">
        <w:rPr>
          <w:rFonts w:ascii="Garamond" w:hAnsi="Garamond" w:cs="Times New Roman"/>
          <w:sz w:val="24"/>
          <w:szCs w:val="24"/>
        </w:rPr>
        <w:t xml:space="preserve"> con carácter </w:t>
      </w:r>
      <w:proofErr w:type="spellStart"/>
      <w:r w:rsidRPr="006544FD">
        <w:rPr>
          <w:rFonts w:ascii="Garamond" w:hAnsi="Garamond" w:cs="Times New Roman"/>
          <w:sz w:val="24"/>
          <w:szCs w:val="24"/>
        </w:rPr>
        <w:t>microprudencial</w:t>
      </w:r>
      <w:proofErr w:type="spellEnd"/>
      <w:r w:rsidRPr="006544FD">
        <w:rPr>
          <w:rFonts w:ascii="Garamond" w:hAnsi="Garamond" w:cs="Times New Roman"/>
          <w:sz w:val="24"/>
          <w:szCs w:val="24"/>
        </w:rPr>
        <w:t xml:space="preserve"> y la JERS</w:t>
      </w:r>
      <w:r w:rsidRPr="006544FD">
        <w:rPr>
          <w:rStyle w:val="Refdenotaalpie"/>
          <w:rFonts w:ascii="Garamond" w:hAnsi="Garamond" w:cs="Times New Roman"/>
          <w:sz w:val="24"/>
          <w:szCs w:val="24"/>
        </w:rPr>
        <w:footnoteReference w:id="18"/>
      </w:r>
      <w:r w:rsidRPr="006544FD">
        <w:rPr>
          <w:rFonts w:ascii="Garamond" w:hAnsi="Garamond" w:cs="Times New Roman"/>
          <w:sz w:val="24"/>
          <w:szCs w:val="24"/>
        </w:rPr>
        <w:t xml:space="preserve"> de la </w:t>
      </w:r>
      <w:proofErr w:type="spellStart"/>
      <w:r w:rsidRPr="006544FD">
        <w:rPr>
          <w:rFonts w:ascii="Garamond" w:hAnsi="Garamond" w:cs="Times New Roman"/>
          <w:sz w:val="24"/>
          <w:szCs w:val="24"/>
        </w:rPr>
        <w:t>macroprudencial</w:t>
      </w:r>
      <w:proofErr w:type="spellEnd"/>
      <w:r w:rsidRPr="006544FD">
        <w:rPr>
          <w:rFonts w:ascii="Garamond" w:hAnsi="Garamond" w:cs="Times New Roman"/>
          <w:sz w:val="24"/>
          <w:szCs w:val="24"/>
        </w:rPr>
        <w:t xml:space="preserve">. </w:t>
      </w:r>
      <w:r w:rsidR="002D79AC" w:rsidRPr="006544FD">
        <w:rPr>
          <w:rFonts w:ascii="Garamond" w:hAnsi="Garamond" w:cs="Times New Roman"/>
          <w:sz w:val="24"/>
          <w:szCs w:val="24"/>
        </w:rPr>
        <w:t xml:space="preserve">Vistos varios obstáculos de operatividad y de eficacia en su labor, se avanzó en la UE para conseguir la ya citada Unión Bancaria, con la implantación del MUS para una supervisión uniforme y, el MUR. </w:t>
      </w:r>
      <w:r w:rsidR="00A14219">
        <w:rPr>
          <w:rFonts w:ascii="Garamond" w:hAnsi="Garamond" w:cs="Times New Roman"/>
          <w:sz w:val="24"/>
          <w:szCs w:val="24"/>
        </w:rPr>
        <w:t xml:space="preserve">En este sentido, resulta destacable la aprobación de la Directiva </w:t>
      </w:r>
      <w:r w:rsidR="00E5476C">
        <w:rPr>
          <w:rFonts w:ascii="Garamond" w:hAnsi="Garamond" w:cs="Times New Roman"/>
          <w:sz w:val="24"/>
          <w:szCs w:val="24"/>
        </w:rPr>
        <w:t>2014/59 que dotó a la UE de mecanismos</w:t>
      </w:r>
      <w:r w:rsidR="00A14219">
        <w:rPr>
          <w:rFonts w:ascii="Garamond" w:hAnsi="Garamond" w:cs="Times New Roman"/>
          <w:sz w:val="24"/>
          <w:szCs w:val="24"/>
        </w:rPr>
        <w:t xml:space="preserve"> </w:t>
      </w:r>
      <w:r w:rsidR="00E5476C">
        <w:rPr>
          <w:rFonts w:ascii="Garamond" w:hAnsi="Garamond" w:cs="Times New Roman"/>
          <w:sz w:val="24"/>
          <w:szCs w:val="24"/>
        </w:rPr>
        <w:t>“</w:t>
      </w:r>
      <w:r w:rsidR="00A14219" w:rsidRPr="00A14219">
        <w:rPr>
          <w:rFonts w:ascii="Garamond" w:hAnsi="Garamond" w:cs="Times New Roman"/>
          <w:sz w:val="24"/>
          <w:szCs w:val="24"/>
        </w:rPr>
        <w:t xml:space="preserve">para hacer frente de manera eficaz a los problemas de solidez o el peligro de inviabilidad de las entidades de crédito y empresas de servicios de </w:t>
      </w:r>
      <w:r w:rsidR="00E5476C">
        <w:rPr>
          <w:rFonts w:ascii="Garamond" w:hAnsi="Garamond" w:cs="Times New Roman"/>
          <w:sz w:val="24"/>
          <w:szCs w:val="24"/>
        </w:rPr>
        <w:t>inversión”.</w:t>
      </w:r>
    </w:p>
    <w:p w14:paraId="057E8428" w14:textId="2394DDB0" w:rsidR="002D79AC" w:rsidRPr="006544FD" w:rsidRDefault="002D79AC" w:rsidP="00AC1B36">
      <w:pPr>
        <w:spacing w:line="300" w:lineRule="auto"/>
        <w:rPr>
          <w:rFonts w:ascii="Garamond" w:hAnsi="Garamond" w:cs="Times New Roman"/>
          <w:sz w:val="24"/>
          <w:szCs w:val="24"/>
        </w:rPr>
      </w:pPr>
      <w:r w:rsidRPr="006544FD">
        <w:rPr>
          <w:rFonts w:ascii="Garamond" w:hAnsi="Garamond" w:cs="Times New Roman"/>
          <w:sz w:val="24"/>
          <w:szCs w:val="24"/>
        </w:rPr>
        <w:t xml:space="preserve">En el terreno nacional, las atribuciones de estos órganos europeos las desarrollan el Banco de España que, además, dirige el Fondo de Reestructuración Ordenada Bancaria (FROB) y el Fondo de Garantía de Depósito. Éste último no ha sido desarrollado a nivel europeo, </w:t>
      </w:r>
      <w:r w:rsidR="00CC492A">
        <w:rPr>
          <w:rFonts w:ascii="Garamond" w:hAnsi="Garamond" w:cs="Times New Roman"/>
          <w:sz w:val="24"/>
          <w:szCs w:val="24"/>
        </w:rPr>
        <w:t>lo que</w:t>
      </w:r>
      <w:r w:rsidR="00CC492A" w:rsidRPr="006544FD">
        <w:rPr>
          <w:rFonts w:ascii="Garamond" w:hAnsi="Garamond" w:cs="Times New Roman"/>
          <w:sz w:val="24"/>
          <w:szCs w:val="24"/>
        </w:rPr>
        <w:t xml:space="preserve"> </w:t>
      </w:r>
      <w:r w:rsidRPr="006544FD">
        <w:rPr>
          <w:rFonts w:ascii="Garamond" w:hAnsi="Garamond" w:cs="Times New Roman"/>
          <w:sz w:val="24"/>
          <w:szCs w:val="24"/>
        </w:rPr>
        <w:t xml:space="preserve">supondría la finalización de la Unión Bancaria. Además, recientemente se ha creado la </w:t>
      </w:r>
      <w:r w:rsidR="00887187" w:rsidRPr="006544FD">
        <w:rPr>
          <w:rFonts w:ascii="Garamond" w:hAnsi="Garamond" w:cs="Times New Roman"/>
          <w:sz w:val="24"/>
          <w:szCs w:val="24"/>
        </w:rPr>
        <w:t>Autoridad</w:t>
      </w:r>
      <w:r w:rsidRPr="006544FD">
        <w:rPr>
          <w:rFonts w:ascii="Garamond" w:hAnsi="Garamond" w:cs="Times New Roman"/>
          <w:sz w:val="24"/>
          <w:szCs w:val="24"/>
        </w:rPr>
        <w:t xml:space="preserve"> </w:t>
      </w:r>
      <w:proofErr w:type="spellStart"/>
      <w:r w:rsidRPr="006544FD">
        <w:rPr>
          <w:rFonts w:ascii="Garamond" w:hAnsi="Garamond" w:cs="Times New Roman"/>
          <w:sz w:val="24"/>
          <w:szCs w:val="24"/>
        </w:rPr>
        <w:t>Macroprudencial</w:t>
      </w:r>
      <w:proofErr w:type="spellEnd"/>
      <w:r w:rsidRPr="006544FD">
        <w:rPr>
          <w:rFonts w:ascii="Garamond" w:hAnsi="Garamond" w:cs="Times New Roman"/>
          <w:sz w:val="24"/>
          <w:szCs w:val="24"/>
        </w:rPr>
        <w:t xml:space="preserve"> (AMCESFI).</w:t>
      </w:r>
    </w:p>
    <w:p w14:paraId="73F28689" w14:textId="7352CECE" w:rsidR="00A4647A" w:rsidRPr="006544FD" w:rsidRDefault="00A4647A" w:rsidP="00AC1B36">
      <w:pPr>
        <w:spacing w:line="300" w:lineRule="auto"/>
        <w:rPr>
          <w:rFonts w:ascii="Garamond" w:hAnsi="Garamond" w:cs="Times New Roman"/>
          <w:sz w:val="24"/>
          <w:szCs w:val="24"/>
        </w:rPr>
      </w:pPr>
    </w:p>
    <w:p w14:paraId="00226A73" w14:textId="3AD94827" w:rsidR="00A4647A" w:rsidRPr="00AC1B36" w:rsidRDefault="00AC1B36" w:rsidP="00AC1B36">
      <w:pPr>
        <w:pStyle w:val="Prrafodelista"/>
        <w:numPr>
          <w:ilvl w:val="0"/>
          <w:numId w:val="6"/>
        </w:numPr>
        <w:spacing w:line="300" w:lineRule="auto"/>
        <w:contextualSpacing w:val="0"/>
        <w:rPr>
          <w:rFonts w:ascii="Garamond" w:hAnsi="Garamond" w:cs="Times New Roman"/>
          <w:sz w:val="28"/>
          <w:szCs w:val="28"/>
        </w:rPr>
      </w:pPr>
      <w:r w:rsidRPr="00AC1B36">
        <w:rPr>
          <w:rFonts w:ascii="Garamond" w:hAnsi="Garamond" w:cs="Times New Roman"/>
          <w:b/>
          <w:sz w:val="28"/>
          <w:szCs w:val="28"/>
        </w:rPr>
        <w:t xml:space="preserve"> </w:t>
      </w:r>
      <w:r w:rsidR="00A4647A" w:rsidRPr="00AC1B36">
        <w:rPr>
          <w:rFonts w:ascii="Garamond" w:hAnsi="Garamond" w:cs="Times New Roman"/>
          <w:b/>
          <w:sz w:val="28"/>
          <w:szCs w:val="28"/>
        </w:rPr>
        <w:t xml:space="preserve"> </w:t>
      </w:r>
      <w:r w:rsidR="00A4647A" w:rsidRPr="00AC1B36">
        <w:rPr>
          <w:rFonts w:ascii="Garamond" w:hAnsi="Garamond" w:cs="Times New Roman"/>
          <w:sz w:val="28"/>
          <w:szCs w:val="28"/>
        </w:rPr>
        <w:t>¿Se han solventado los problemas que generaron la crisis económica?</w:t>
      </w:r>
    </w:p>
    <w:p w14:paraId="11096558" w14:textId="51A6AE0F" w:rsidR="00A4647A" w:rsidRPr="006544FD" w:rsidRDefault="00672845" w:rsidP="00AC1B36">
      <w:pPr>
        <w:spacing w:line="300" w:lineRule="auto"/>
        <w:rPr>
          <w:rFonts w:ascii="Garamond" w:hAnsi="Garamond" w:cs="Times New Roman"/>
          <w:i/>
          <w:sz w:val="24"/>
          <w:szCs w:val="24"/>
        </w:rPr>
      </w:pPr>
      <w:r w:rsidRPr="006544FD">
        <w:rPr>
          <w:rFonts w:ascii="Garamond" w:hAnsi="Garamond" w:cs="Times New Roman"/>
          <w:sz w:val="24"/>
          <w:szCs w:val="24"/>
        </w:rPr>
        <w:t xml:space="preserve">El Grupo liderado por </w:t>
      </w:r>
      <w:proofErr w:type="spellStart"/>
      <w:r w:rsidRPr="006544FD">
        <w:rPr>
          <w:rFonts w:ascii="Garamond" w:hAnsi="Garamond" w:cs="Times New Roman"/>
          <w:sz w:val="24"/>
          <w:szCs w:val="24"/>
        </w:rPr>
        <w:t>Larosière</w:t>
      </w:r>
      <w:proofErr w:type="spellEnd"/>
      <w:r w:rsidRPr="006544FD">
        <w:rPr>
          <w:rFonts w:ascii="Garamond" w:hAnsi="Garamond" w:cs="Times New Roman"/>
          <w:sz w:val="24"/>
          <w:szCs w:val="24"/>
        </w:rPr>
        <w:t xml:space="preserve"> ya indicaba hacia dónde debían dirigirse las reformas que la Unión debía acometer para implantar Basilea III y establecer, simultáneamente, un sistema de supervisión que alertase de situaciones críticas como la de 2008. No obstante, ¿ha supuesto un cambio significativo toda la nueva regulación? Sí, al menos </w:t>
      </w:r>
      <w:r w:rsidRPr="006544FD">
        <w:rPr>
          <w:rFonts w:ascii="Garamond" w:hAnsi="Garamond" w:cs="Times New Roman"/>
          <w:i/>
          <w:sz w:val="24"/>
          <w:szCs w:val="24"/>
        </w:rPr>
        <w:t>a priori.</w:t>
      </w:r>
    </w:p>
    <w:p w14:paraId="02706805" w14:textId="7CF2926F" w:rsidR="00672845" w:rsidRPr="006544FD" w:rsidRDefault="00672845" w:rsidP="00AC1B36">
      <w:pPr>
        <w:spacing w:line="300" w:lineRule="auto"/>
        <w:rPr>
          <w:rFonts w:ascii="Garamond" w:hAnsi="Garamond" w:cs="Times New Roman"/>
          <w:sz w:val="24"/>
          <w:szCs w:val="24"/>
        </w:rPr>
      </w:pPr>
      <w:r w:rsidRPr="006544FD">
        <w:rPr>
          <w:rFonts w:ascii="Garamond" w:hAnsi="Garamond" w:cs="Times New Roman"/>
          <w:sz w:val="24"/>
          <w:szCs w:val="24"/>
        </w:rPr>
        <w:t xml:space="preserve">Las conductas más importantes que, abocaron a la crisis del sistema, como se antecedía eran tres: alta exposición crediticia ligada al sector inmobiliario, opacidad y falta de información, inexistencia de una supervisión </w:t>
      </w:r>
      <w:proofErr w:type="spellStart"/>
      <w:r w:rsidRPr="006544FD">
        <w:rPr>
          <w:rFonts w:ascii="Garamond" w:hAnsi="Garamond" w:cs="Times New Roman"/>
          <w:sz w:val="24"/>
          <w:szCs w:val="24"/>
        </w:rPr>
        <w:t>macroprudencial</w:t>
      </w:r>
      <w:proofErr w:type="spellEnd"/>
      <w:r w:rsidRPr="006544FD">
        <w:rPr>
          <w:rFonts w:ascii="Garamond" w:hAnsi="Garamond" w:cs="Times New Roman"/>
          <w:sz w:val="24"/>
          <w:szCs w:val="24"/>
        </w:rPr>
        <w:t xml:space="preserve"> junto con la confianza ciega en las entidades. Pues bien, abordando cada una de ellas por separado se puede analizar lo siguiente:</w:t>
      </w:r>
    </w:p>
    <w:p w14:paraId="00E8B3E0" w14:textId="2527E01C" w:rsidR="00672845" w:rsidRPr="006544FD" w:rsidRDefault="00672845" w:rsidP="00AC1B36">
      <w:pPr>
        <w:pStyle w:val="Prrafodelista"/>
        <w:numPr>
          <w:ilvl w:val="0"/>
          <w:numId w:val="2"/>
        </w:numPr>
        <w:spacing w:line="300" w:lineRule="auto"/>
        <w:contextualSpacing w:val="0"/>
        <w:rPr>
          <w:rFonts w:ascii="Garamond" w:hAnsi="Garamond" w:cs="Times New Roman"/>
          <w:sz w:val="24"/>
          <w:szCs w:val="24"/>
        </w:rPr>
      </w:pPr>
      <w:r w:rsidRPr="006544FD">
        <w:rPr>
          <w:rFonts w:ascii="Garamond" w:hAnsi="Garamond" w:cs="Times New Roman"/>
          <w:sz w:val="24"/>
          <w:szCs w:val="24"/>
        </w:rPr>
        <w:t xml:space="preserve">Puede afirmarse rotundamente que existe una supervisión </w:t>
      </w:r>
      <w:proofErr w:type="spellStart"/>
      <w:r w:rsidRPr="006544FD">
        <w:rPr>
          <w:rFonts w:ascii="Garamond" w:hAnsi="Garamond" w:cs="Times New Roman"/>
          <w:sz w:val="24"/>
          <w:szCs w:val="24"/>
        </w:rPr>
        <w:t>macroprudencial</w:t>
      </w:r>
      <w:proofErr w:type="spellEnd"/>
      <w:r w:rsidRPr="006544FD">
        <w:rPr>
          <w:rFonts w:ascii="Garamond" w:hAnsi="Garamond" w:cs="Times New Roman"/>
          <w:sz w:val="24"/>
          <w:szCs w:val="24"/>
        </w:rPr>
        <w:t xml:space="preserve">. Además de reforzar, como se vio al tratar de Basilea III, la supervisión </w:t>
      </w:r>
      <w:proofErr w:type="spellStart"/>
      <w:r w:rsidRPr="006544FD">
        <w:rPr>
          <w:rFonts w:ascii="Garamond" w:hAnsi="Garamond" w:cs="Times New Roman"/>
          <w:sz w:val="24"/>
          <w:szCs w:val="24"/>
        </w:rPr>
        <w:t>microprudencial</w:t>
      </w:r>
      <w:proofErr w:type="spellEnd"/>
      <w:r w:rsidRPr="006544FD">
        <w:rPr>
          <w:rFonts w:ascii="Garamond" w:hAnsi="Garamond" w:cs="Times New Roman"/>
          <w:sz w:val="24"/>
          <w:szCs w:val="24"/>
        </w:rPr>
        <w:t xml:space="preserve"> y los requisitos de cada entidad, se han creado autoridades </w:t>
      </w:r>
      <w:proofErr w:type="spellStart"/>
      <w:r w:rsidRPr="006544FD">
        <w:rPr>
          <w:rFonts w:ascii="Garamond" w:hAnsi="Garamond" w:cs="Times New Roman"/>
          <w:sz w:val="24"/>
          <w:szCs w:val="24"/>
        </w:rPr>
        <w:t>macroprudenciales</w:t>
      </w:r>
      <w:proofErr w:type="spellEnd"/>
      <w:r w:rsidRPr="006544FD">
        <w:rPr>
          <w:rFonts w:ascii="Garamond" w:hAnsi="Garamond" w:cs="Times New Roman"/>
          <w:sz w:val="24"/>
          <w:szCs w:val="24"/>
        </w:rPr>
        <w:t xml:space="preserve">. Se han establecido canales de información fluida, con todos los bancos centrales de cada Estado y el BCE a fin de sistematizar los posibles riesgos sistémicos que puedan surgir y, en tal caso, atajarlos a tiempo. Ya no sólo se evalúan a los bancos individualmente, también en su conjunto. También están las Autoridades que se encargan del carácter </w:t>
      </w:r>
      <w:proofErr w:type="spellStart"/>
      <w:r w:rsidRPr="006544FD">
        <w:rPr>
          <w:rFonts w:ascii="Garamond" w:hAnsi="Garamond" w:cs="Times New Roman"/>
          <w:sz w:val="24"/>
          <w:szCs w:val="24"/>
        </w:rPr>
        <w:t>microprudencial</w:t>
      </w:r>
      <w:proofErr w:type="spellEnd"/>
      <w:r w:rsidRPr="006544FD">
        <w:rPr>
          <w:rFonts w:ascii="Garamond" w:hAnsi="Garamond" w:cs="Times New Roman"/>
          <w:sz w:val="24"/>
          <w:szCs w:val="24"/>
        </w:rPr>
        <w:t xml:space="preserve"> de esta tarea</w:t>
      </w:r>
      <w:r w:rsidR="00FD2FEE" w:rsidRPr="006544FD">
        <w:rPr>
          <w:rFonts w:ascii="Garamond" w:hAnsi="Garamond" w:cs="Times New Roman"/>
          <w:sz w:val="24"/>
          <w:szCs w:val="24"/>
        </w:rPr>
        <w:t>, íntimamente conectado con las autoridades nacionales (</w:t>
      </w:r>
      <w:proofErr w:type="spellStart"/>
      <w:r w:rsidR="00FD2FEE" w:rsidRPr="006544FD">
        <w:rPr>
          <w:rFonts w:ascii="Garamond" w:hAnsi="Garamond" w:cs="Times New Roman"/>
          <w:sz w:val="24"/>
          <w:szCs w:val="24"/>
        </w:rPr>
        <w:t>BdE</w:t>
      </w:r>
      <w:proofErr w:type="spellEnd"/>
      <w:r w:rsidR="00FD2FEE" w:rsidRPr="006544FD">
        <w:rPr>
          <w:rFonts w:ascii="Garamond" w:hAnsi="Garamond" w:cs="Times New Roman"/>
          <w:sz w:val="24"/>
          <w:szCs w:val="24"/>
        </w:rPr>
        <w:t>).</w:t>
      </w:r>
    </w:p>
    <w:p w14:paraId="676571AA" w14:textId="1072CEAA" w:rsidR="00FD2FEE" w:rsidRPr="006544FD" w:rsidRDefault="00FD2FEE" w:rsidP="00AC1B36">
      <w:pPr>
        <w:pStyle w:val="Prrafodelista"/>
        <w:spacing w:line="300" w:lineRule="auto"/>
        <w:ind w:left="1080"/>
        <w:contextualSpacing w:val="0"/>
        <w:rPr>
          <w:rFonts w:ascii="Garamond" w:hAnsi="Garamond" w:cs="Times New Roman"/>
          <w:sz w:val="24"/>
          <w:szCs w:val="24"/>
        </w:rPr>
      </w:pPr>
      <w:r w:rsidRPr="006544FD">
        <w:rPr>
          <w:rFonts w:ascii="Garamond" w:hAnsi="Garamond" w:cs="Times New Roman"/>
          <w:sz w:val="24"/>
          <w:szCs w:val="24"/>
        </w:rPr>
        <w:lastRenderedPageBreak/>
        <w:t xml:space="preserve">Esto conduce a un menor contagio entre entidades del mercado financiero, pues que, ante el caso de una alerta respecto de un operador, se activarían los mecanismos de gestión de crisis que, impondrían medidas a la entidad afectada, pudiendo llegar al caso de activarse el Mecanismo Único de Resolución y la JUR para liquidarlo. El </w:t>
      </w:r>
      <w:r w:rsidRPr="00EA479E">
        <w:rPr>
          <w:rFonts w:ascii="Garamond" w:hAnsi="Garamond" w:cs="Times New Roman"/>
          <w:sz w:val="24"/>
          <w:szCs w:val="24"/>
        </w:rPr>
        <w:t>mercado interbancario</w:t>
      </w:r>
      <w:r w:rsidRPr="006544FD">
        <w:rPr>
          <w:rFonts w:ascii="Garamond" w:hAnsi="Garamond" w:cs="Times New Roman"/>
          <w:sz w:val="24"/>
          <w:szCs w:val="24"/>
        </w:rPr>
        <w:t xml:space="preserve"> es altamente sensible, más aún en un mercado integrado como es la UE, </w:t>
      </w:r>
      <w:r w:rsidR="0063634B" w:rsidRPr="006544FD">
        <w:rPr>
          <w:rFonts w:ascii="Garamond" w:hAnsi="Garamond" w:cs="Times New Roman"/>
          <w:sz w:val="24"/>
          <w:szCs w:val="24"/>
        </w:rPr>
        <w:t xml:space="preserve">por lo que es fundamental que las autoridades estén </w:t>
      </w:r>
      <w:proofErr w:type="gramStart"/>
      <w:r w:rsidR="00A3237B" w:rsidRPr="006544FD">
        <w:rPr>
          <w:rFonts w:ascii="Garamond" w:hAnsi="Garamond" w:cs="Times New Roman"/>
          <w:sz w:val="24"/>
          <w:szCs w:val="24"/>
        </w:rPr>
        <w:t>alerta</w:t>
      </w:r>
      <w:proofErr w:type="gramEnd"/>
      <w:r w:rsidR="0063634B" w:rsidRPr="006544FD">
        <w:rPr>
          <w:rFonts w:ascii="Garamond" w:hAnsi="Garamond" w:cs="Times New Roman"/>
          <w:sz w:val="24"/>
          <w:szCs w:val="24"/>
        </w:rPr>
        <w:t xml:space="preserve"> ante los ‘contagios de los shocks’. </w:t>
      </w:r>
      <w:r w:rsidR="00FC76CA" w:rsidRPr="006544FD">
        <w:rPr>
          <w:rFonts w:ascii="Garamond" w:hAnsi="Garamond" w:cs="Times New Roman"/>
          <w:sz w:val="24"/>
          <w:szCs w:val="24"/>
        </w:rPr>
        <w:t xml:space="preserve">Consiguientemente a esa sensibilidad, desde agosto de 2007, los tipos interbancarios comenzaron a negociarse a altos diferenciales, a fin de cubrirse el riesgo ante situaciones de iliquidez. </w:t>
      </w:r>
      <w:r w:rsidR="0063634B" w:rsidRPr="006544FD">
        <w:rPr>
          <w:rFonts w:ascii="Garamond" w:hAnsi="Garamond" w:cs="Times New Roman"/>
          <w:sz w:val="24"/>
          <w:szCs w:val="24"/>
        </w:rPr>
        <w:t xml:space="preserve">La gran cantidad de depósitos y préstamos que las entidades realizan entre sí diariamente son un canal de contagio estable a través del vual un solo banco puede propagar su situación al resto; el hecho de la eficacia de la integración puede conducir a una ausencia o flexibilización de los controles de los flujos entre entidades, pasando desapercibidos para el regulador o supervisor. </w:t>
      </w:r>
      <w:r w:rsidR="009F3478" w:rsidRPr="006544FD">
        <w:rPr>
          <w:rFonts w:ascii="Garamond" w:hAnsi="Garamond" w:cs="Times New Roman"/>
          <w:sz w:val="24"/>
          <w:szCs w:val="24"/>
        </w:rPr>
        <w:t xml:space="preserve">De ahí que la integración deba estar completa, para evitar que, ante una situación de contagio se pueda atenuar y acotar. Eso es lo que pretende la Unión Bancaria. </w:t>
      </w:r>
    </w:p>
    <w:p w14:paraId="00999CC7" w14:textId="0226779A" w:rsidR="00A235FD" w:rsidRPr="006544FD" w:rsidRDefault="00A235FD" w:rsidP="00AC1B36">
      <w:pPr>
        <w:pStyle w:val="Prrafodelista"/>
        <w:spacing w:line="300" w:lineRule="auto"/>
        <w:ind w:left="1080"/>
        <w:contextualSpacing w:val="0"/>
        <w:rPr>
          <w:rFonts w:ascii="Garamond" w:hAnsi="Garamond" w:cs="Times New Roman"/>
          <w:sz w:val="24"/>
          <w:szCs w:val="24"/>
        </w:rPr>
      </w:pPr>
      <w:r w:rsidRPr="006544FD">
        <w:rPr>
          <w:rFonts w:ascii="Garamond" w:hAnsi="Garamond" w:cs="Times New Roman"/>
          <w:sz w:val="24"/>
          <w:szCs w:val="24"/>
        </w:rPr>
        <w:t>No obstante, sería revelador sopesar cómo el rápido contagio</w:t>
      </w:r>
      <w:r w:rsidR="003E6BFB" w:rsidRPr="006544FD">
        <w:rPr>
          <w:rFonts w:ascii="Garamond" w:hAnsi="Garamond" w:cs="Times New Roman"/>
          <w:sz w:val="24"/>
          <w:szCs w:val="24"/>
        </w:rPr>
        <w:t xml:space="preserve"> entre entidades del sistema afectó a la Moneda Única y qué refuerzo ha supuesto toda la reforma regulatoria actual a fin de blindar la divisa europea</w:t>
      </w:r>
      <w:r w:rsidR="00A3237B" w:rsidRPr="006544FD">
        <w:rPr>
          <w:rFonts w:ascii="Garamond" w:hAnsi="Garamond" w:cs="Times New Roman"/>
          <w:sz w:val="24"/>
          <w:szCs w:val="24"/>
        </w:rPr>
        <w:t xml:space="preserve">. </w:t>
      </w:r>
      <w:r w:rsidR="000A185D" w:rsidRPr="006544FD">
        <w:rPr>
          <w:rFonts w:ascii="Garamond" w:hAnsi="Garamond" w:cs="Times New Roman"/>
          <w:sz w:val="24"/>
          <w:szCs w:val="24"/>
        </w:rPr>
        <w:t xml:space="preserve">También visualizar cómo los balances de los bancos, afectados por la crisis económica, llegaron al comienzo de la crisis de deuda soberana (a mediados de 2010) en un estado de convalecencia. </w:t>
      </w:r>
      <w:r w:rsidR="00A3237B" w:rsidRPr="006544FD">
        <w:rPr>
          <w:rFonts w:ascii="Garamond" w:hAnsi="Garamond" w:cs="Times New Roman"/>
          <w:sz w:val="24"/>
          <w:szCs w:val="24"/>
        </w:rPr>
        <w:t xml:space="preserve">Y de ahí, la necesidad de los rescates financieros a países como Irlanda o Grecia, a fin de contener la hemorragia.  </w:t>
      </w:r>
    </w:p>
    <w:p w14:paraId="6D857565" w14:textId="77777777" w:rsidR="00FC76CA" w:rsidRPr="006544FD" w:rsidRDefault="00FC76CA" w:rsidP="00AC1B36">
      <w:pPr>
        <w:pStyle w:val="Prrafodelista"/>
        <w:numPr>
          <w:ilvl w:val="0"/>
          <w:numId w:val="2"/>
        </w:numPr>
        <w:spacing w:line="300" w:lineRule="auto"/>
        <w:contextualSpacing w:val="0"/>
        <w:rPr>
          <w:rFonts w:ascii="Garamond" w:hAnsi="Garamond" w:cs="Times New Roman"/>
          <w:sz w:val="24"/>
          <w:szCs w:val="24"/>
        </w:rPr>
      </w:pPr>
      <w:r w:rsidRPr="006544FD">
        <w:rPr>
          <w:rFonts w:ascii="Garamond" w:hAnsi="Garamond" w:cs="Times New Roman"/>
          <w:sz w:val="24"/>
          <w:szCs w:val="24"/>
        </w:rPr>
        <w:t xml:space="preserve">La opacidad parece haberse transformado en transparencia, al menos en lo concerniente a la relación banca-cliente. La legislación europea ha condicionado que los bancos replanteen su operativa. Y esto va, sobre todo, muy ligado a la recuperación de la confianza en el sistema. Es aquí donde entra el paquete </w:t>
      </w:r>
      <w:proofErr w:type="spellStart"/>
      <w:r w:rsidRPr="006544FD">
        <w:rPr>
          <w:rFonts w:ascii="Garamond" w:hAnsi="Garamond" w:cs="Times New Roman"/>
          <w:sz w:val="24"/>
          <w:szCs w:val="24"/>
        </w:rPr>
        <w:t>MiFID</w:t>
      </w:r>
      <w:proofErr w:type="spellEnd"/>
      <w:r w:rsidRPr="006544FD">
        <w:rPr>
          <w:rFonts w:ascii="Garamond" w:hAnsi="Garamond" w:cs="Times New Roman"/>
          <w:sz w:val="24"/>
          <w:szCs w:val="24"/>
        </w:rPr>
        <w:t xml:space="preserve"> II. En 2004, se aprobaba la primera directiva </w:t>
      </w:r>
      <w:proofErr w:type="spellStart"/>
      <w:r w:rsidRPr="006544FD">
        <w:rPr>
          <w:rFonts w:ascii="Garamond" w:hAnsi="Garamond" w:cs="Times New Roman"/>
          <w:sz w:val="24"/>
          <w:szCs w:val="24"/>
        </w:rPr>
        <w:t>MiFID</w:t>
      </w:r>
      <w:proofErr w:type="spellEnd"/>
      <w:r w:rsidRPr="006544FD">
        <w:rPr>
          <w:rFonts w:ascii="Garamond" w:hAnsi="Garamond" w:cs="Times New Roman"/>
          <w:sz w:val="24"/>
          <w:szCs w:val="24"/>
        </w:rPr>
        <w:t xml:space="preserve">, y hubo que esperar hasta 20014, con la Directiva 2014/65/UE, para reforzar la protección al consumidor. </w:t>
      </w:r>
    </w:p>
    <w:p w14:paraId="1403ED1F" w14:textId="08F1931C" w:rsidR="00FC76CA" w:rsidRPr="006544FD" w:rsidRDefault="005C6C5B" w:rsidP="00AC1B36">
      <w:pPr>
        <w:pStyle w:val="Prrafodelista"/>
        <w:spacing w:line="300" w:lineRule="auto"/>
        <w:ind w:left="1080"/>
        <w:contextualSpacing w:val="0"/>
        <w:rPr>
          <w:rFonts w:ascii="Garamond" w:hAnsi="Garamond" w:cs="Times New Roman"/>
          <w:sz w:val="24"/>
          <w:szCs w:val="24"/>
        </w:rPr>
      </w:pPr>
      <w:r w:rsidRPr="006544FD">
        <w:rPr>
          <w:rFonts w:ascii="Garamond" w:hAnsi="Garamond" w:cs="Times New Roman"/>
          <w:sz w:val="24"/>
          <w:szCs w:val="24"/>
        </w:rPr>
        <w:t xml:space="preserve">Ya en 2013, el Tribunal de Justicia de la UE, emprendió el camino de una serie de fallos en los que los bancos empezaban a ser condenados por incumplimiento de deberes de información y otros relativos a clientes. </w:t>
      </w:r>
      <w:r w:rsidR="00A45793" w:rsidRPr="006544FD">
        <w:rPr>
          <w:rFonts w:ascii="Garamond" w:hAnsi="Garamond" w:cs="Times New Roman"/>
          <w:sz w:val="24"/>
          <w:szCs w:val="24"/>
        </w:rPr>
        <w:t>Seguidamente, c</w:t>
      </w:r>
      <w:r w:rsidRPr="006544FD">
        <w:rPr>
          <w:rFonts w:ascii="Garamond" w:hAnsi="Garamond" w:cs="Times New Roman"/>
          <w:sz w:val="24"/>
          <w:szCs w:val="24"/>
        </w:rPr>
        <w:t xml:space="preserve">on la implantación efectiva de la normativa </w:t>
      </w:r>
      <w:proofErr w:type="spellStart"/>
      <w:r w:rsidRPr="006544FD">
        <w:rPr>
          <w:rFonts w:ascii="Garamond" w:hAnsi="Garamond" w:cs="Times New Roman"/>
          <w:sz w:val="24"/>
          <w:szCs w:val="24"/>
        </w:rPr>
        <w:t>MiFID</w:t>
      </w:r>
      <w:proofErr w:type="spellEnd"/>
      <w:r w:rsidRPr="006544FD">
        <w:rPr>
          <w:rFonts w:ascii="Garamond" w:hAnsi="Garamond" w:cs="Times New Roman"/>
          <w:sz w:val="24"/>
          <w:szCs w:val="24"/>
        </w:rPr>
        <w:t xml:space="preserve"> II (y </w:t>
      </w:r>
      <w:proofErr w:type="spellStart"/>
      <w:r w:rsidRPr="006544FD">
        <w:rPr>
          <w:rFonts w:ascii="Garamond" w:hAnsi="Garamond" w:cs="Times New Roman"/>
          <w:sz w:val="24"/>
          <w:szCs w:val="24"/>
        </w:rPr>
        <w:t>MiFIR</w:t>
      </w:r>
      <w:proofErr w:type="spellEnd"/>
      <w:r w:rsidRPr="006544FD">
        <w:rPr>
          <w:rFonts w:ascii="Garamond" w:hAnsi="Garamond" w:cs="Times New Roman"/>
          <w:sz w:val="24"/>
          <w:szCs w:val="24"/>
        </w:rPr>
        <w:t xml:space="preserve">), se </w:t>
      </w:r>
      <w:r w:rsidR="00A45793" w:rsidRPr="006544FD">
        <w:rPr>
          <w:rFonts w:ascii="Garamond" w:hAnsi="Garamond" w:cs="Times New Roman"/>
          <w:sz w:val="24"/>
          <w:szCs w:val="24"/>
        </w:rPr>
        <w:t xml:space="preserve">establecía un marco de protección para los consumidores que reforzaría la posición de la parte débil y obligaría a las entidades a establecer mayor transparencia e información a la hora de ofrecer y vender sus productos financieros. Además, se imponía la necesidad de evaluar de forma más rigurosa el perfil del cliente. </w:t>
      </w:r>
    </w:p>
    <w:p w14:paraId="3A4120E1" w14:textId="283F6499" w:rsidR="00A45793" w:rsidRPr="006544FD" w:rsidRDefault="00A45793" w:rsidP="00AC1B36">
      <w:pPr>
        <w:pStyle w:val="Prrafodelista"/>
        <w:spacing w:line="300" w:lineRule="auto"/>
        <w:ind w:left="1080"/>
        <w:contextualSpacing w:val="0"/>
        <w:rPr>
          <w:rFonts w:ascii="Garamond" w:hAnsi="Garamond" w:cs="Times New Roman"/>
          <w:sz w:val="24"/>
          <w:szCs w:val="24"/>
        </w:rPr>
      </w:pPr>
      <w:r w:rsidRPr="006544FD">
        <w:rPr>
          <w:rFonts w:ascii="Garamond" w:hAnsi="Garamond" w:cs="Times New Roman"/>
          <w:sz w:val="24"/>
          <w:szCs w:val="24"/>
        </w:rPr>
        <w:t>Entre las diversas obligaciones que se imponían destacan:</w:t>
      </w:r>
    </w:p>
    <w:p w14:paraId="2302FEA7" w14:textId="5CE9324C" w:rsidR="00A45793" w:rsidRPr="006544FD" w:rsidRDefault="00A45793" w:rsidP="00AC1B36">
      <w:pPr>
        <w:pStyle w:val="Prrafodelista"/>
        <w:numPr>
          <w:ilvl w:val="2"/>
          <w:numId w:val="1"/>
        </w:numPr>
        <w:spacing w:line="300" w:lineRule="auto"/>
        <w:contextualSpacing w:val="0"/>
        <w:rPr>
          <w:rFonts w:ascii="Garamond" w:hAnsi="Garamond" w:cs="Times New Roman"/>
          <w:sz w:val="24"/>
          <w:szCs w:val="24"/>
        </w:rPr>
      </w:pPr>
      <w:r w:rsidRPr="006544FD">
        <w:rPr>
          <w:rFonts w:ascii="Garamond" w:hAnsi="Garamond" w:cs="Times New Roman"/>
          <w:sz w:val="24"/>
          <w:szCs w:val="24"/>
        </w:rPr>
        <w:lastRenderedPageBreak/>
        <w:t>La clasificación de los inversores entre contrapartes elegibles, clientes profesionales y minoristas. Estos últimos gozaban de un mayor grado de protección.</w:t>
      </w:r>
    </w:p>
    <w:p w14:paraId="3EFC2DC1" w14:textId="799BE78E" w:rsidR="00A45793" w:rsidRPr="006544FD" w:rsidRDefault="00A45793" w:rsidP="00AC1B36">
      <w:pPr>
        <w:pStyle w:val="Prrafodelista"/>
        <w:numPr>
          <w:ilvl w:val="2"/>
          <w:numId w:val="1"/>
        </w:numPr>
        <w:spacing w:line="300" w:lineRule="auto"/>
        <w:contextualSpacing w:val="0"/>
        <w:rPr>
          <w:rFonts w:ascii="Garamond" w:hAnsi="Garamond" w:cs="Times New Roman"/>
          <w:sz w:val="24"/>
          <w:szCs w:val="24"/>
        </w:rPr>
      </w:pPr>
      <w:r w:rsidRPr="006544FD">
        <w:rPr>
          <w:rFonts w:ascii="Garamond" w:hAnsi="Garamond" w:cs="Times New Roman"/>
          <w:sz w:val="24"/>
          <w:szCs w:val="24"/>
        </w:rPr>
        <w:t xml:space="preserve">La implantación de </w:t>
      </w:r>
      <w:proofErr w:type="gramStart"/>
      <w:r w:rsidRPr="006544FD">
        <w:rPr>
          <w:rFonts w:ascii="Garamond" w:hAnsi="Garamond" w:cs="Times New Roman"/>
          <w:sz w:val="24"/>
          <w:szCs w:val="24"/>
        </w:rPr>
        <w:t xml:space="preserve">los </w:t>
      </w:r>
      <w:r w:rsidR="00203D0F" w:rsidRPr="006544FD">
        <w:rPr>
          <w:rFonts w:ascii="Garamond" w:hAnsi="Garamond" w:cs="Times New Roman"/>
          <w:sz w:val="24"/>
          <w:szCs w:val="24"/>
        </w:rPr>
        <w:t>test</w:t>
      </w:r>
      <w:proofErr w:type="gramEnd"/>
      <w:r w:rsidRPr="006544FD">
        <w:rPr>
          <w:rFonts w:ascii="Garamond" w:hAnsi="Garamond" w:cs="Times New Roman"/>
          <w:sz w:val="24"/>
          <w:szCs w:val="24"/>
        </w:rPr>
        <w:t xml:space="preserve"> de idoneidad y conveniencia, sobre todo éste último para los inversores minoristas. </w:t>
      </w:r>
    </w:p>
    <w:p w14:paraId="70F1CDA1" w14:textId="6AD643DE" w:rsidR="00203D0F" w:rsidRPr="006544FD" w:rsidRDefault="00203D0F" w:rsidP="00AC1B36">
      <w:pPr>
        <w:pStyle w:val="Prrafodelista"/>
        <w:numPr>
          <w:ilvl w:val="2"/>
          <w:numId w:val="1"/>
        </w:numPr>
        <w:spacing w:line="300" w:lineRule="auto"/>
        <w:contextualSpacing w:val="0"/>
        <w:rPr>
          <w:rFonts w:ascii="Garamond" w:hAnsi="Garamond" w:cs="Times New Roman"/>
          <w:sz w:val="24"/>
          <w:szCs w:val="24"/>
        </w:rPr>
      </w:pPr>
      <w:r w:rsidRPr="006544FD">
        <w:rPr>
          <w:rFonts w:ascii="Garamond" w:hAnsi="Garamond" w:cs="Times New Roman"/>
          <w:sz w:val="24"/>
          <w:szCs w:val="24"/>
        </w:rPr>
        <w:t>La clasificación de los productos según su complejidad (ECC/2316/2015).</w:t>
      </w:r>
    </w:p>
    <w:p w14:paraId="38F67FFA" w14:textId="0F991C02" w:rsidR="00203D0F" w:rsidRPr="006544FD" w:rsidRDefault="00203D0F" w:rsidP="00AC1B36">
      <w:pPr>
        <w:spacing w:line="300" w:lineRule="auto"/>
        <w:ind w:left="1080"/>
        <w:rPr>
          <w:rFonts w:ascii="Garamond" w:hAnsi="Garamond" w:cs="Times New Roman"/>
          <w:sz w:val="24"/>
          <w:szCs w:val="24"/>
        </w:rPr>
      </w:pPr>
      <w:r w:rsidRPr="006544FD">
        <w:rPr>
          <w:rFonts w:ascii="Garamond" w:hAnsi="Garamond" w:cs="Times New Roman"/>
          <w:sz w:val="24"/>
          <w:szCs w:val="24"/>
        </w:rPr>
        <w:t xml:space="preserve">Se reconstruía así un marco de relaciones garantista, en el que debía imperar el principio de ‘mejor interés del cliente’. Lejos quedaría así la época de comercialización de productos complejos, opacos y de difícil entendimiento. </w:t>
      </w:r>
      <w:r w:rsidR="00E5476C">
        <w:rPr>
          <w:rFonts w:ascii="Garamond" w:hAnsi="Garamond" w:cs="Times New Roman"/>
          <w:sz w:val="24"/>
          <w:szCs w:val="24"/>
        </w:rPr>
        <w:t>Si bien, un nuevo escenario se plantea en este aspecto: la relación banca-cliente y las nuevas formas de operar a través de la digitalización y las novedades asociadas a las fintech</w:t>
      </w:r>
      <w:r w:rsidR="005518EB">
        <w:rPr>
          <w:rStyle w:val="Refdenotaalpie"/>
          <w:rFonts w:ascii="Garamond" w:hAnsi="Garamond" w:cs="Times New Roman"/>
          <w:sz w:val="24"/>
          <w:szCs w:val="24"/>
        </w:rPr>
        <w:footnoteReference w:id="19"/>
      </w:r>
      <w:r w:rsidR="00E5476C">
        <w:rPr>
          <w:rFonts w:ascii="Garamond" w:hAnsi="Garamond" w:cs="Times New Roman"/>
          <w:sz w:val="24"/>
          <w:szCs w:val="24"/>
        </w:rPr>
        <w:t>.</w:t>
      </w:r>
    </w:p>
    <w:p w14:paraId="12D05FB4" w14:textId="71595215" w:rsidR="00F87464" w:rsidRPr="006544FD" w:rsidRDefault="00F87464" w:rsidP="00AC1B36">
      <w:pPr>
        <w:pStyle w:val="Prrafodelista"/>
        <w:numPr>
          <w:ilvl w:val="0"/>
          <w:numId w:val="2"/>
        </w:numPr>
        <w:spacing w:line="300" w:lineRule="auto"/>
        <w:contextualSpacing w:val="0"/>
        <w:rPr>
          <w:rFonts w:ascii="Garamond" w:hAnsi="Garamond" w:cs="Times New Roman"/>
          <w:sz w:val="24"/>
          <w:szCs w:val="24"/>
        </w:rPr>
      </w:pPr>
      <w:r w:rsidRPr="006544FD">
        <w:rPr>
          <w:rFonts w:ascii="Garamond" w:hAnsi="Garamond" w:cs="Times New Roman"/>
          <w:sz w:val="24"/>
          <w:szCs w:val="24"/>
        </w:rPr>
        <w:t xml:space="preserve">Por último, la ya mencionada solvencia de las entidades del </w:t>
      </w:r>
      <w:r w:rsidR="0026046A" w:rsidRPr="006544FD">
        <w:rPr>
          <w:rFonts w:ascii="Garamond" w:hAnsi="Garamond" w:cs="Times New Roman"/>
          <w:sz w:val="24"/>
          <w:szCs w:val="24"/>
        </w:rPr>
        <w:t>mercado</w:t>
      </w:r>
      <w:r w:rsidRPr="006544FD">
        <w:rPr>
          <w:rFonts w:ascii="Garamond" w:hAnsi="Garamond" w:cs="Times New Roman"/>
          <w:sz w:val="24"/>
          <w:szCs w:val="24"/>
        </w:rPr>
        <w:t xml:space="preserve"> se ve fuertemente reforzada con Basilea III. Ya no sólo la supervisión tratada, sino que, como se vio, los requerimientos de capital se ven afectados positivamente. Este refuerzo es tanto cuantitativo como cualitativo, no solamente se aumentan o se adicionan los tipos </w:t>
      </w:r>
      <w:r w:rsidR="0026046A" w:rsidRPr="006544FD">
        <w:rPr>
          <w:rFonts w:ascii="Garamond" w:hAnsi="Garamond" w:cs="Times New Roman"/>
          <w:sz w:val="24"/>
          <w:szCs w:val="24"/>
        </w:rPr>
        <w:t>mínimos,</w:t>
      </w:r>
      <w:r w:rsidRPr="006544FD">
        <w:rPr>
          <w:rFonts w:ascii="Garamond" w:hAnsi="Garamond" w:cs="Times New Roman"/>
          <w:sz w:val="24"/>
          <w:szCs w:val="24"/>
        </w:rPr>
        <w:t xml:space="preserve"> sino que se aborda la calidad del capital</w:t>
      </w:r>
      <w:r w:rsidR="0026046A" w:rsidRPr="006544FD">
        <w:rPr>
          <w:rFonts w:ascii="Garamond" w:hAnsi="Garamond" w:cs="Times New Roman"/>
          <w:sz w:val="24"/>
          <w:szCs w:val="24"/>
        </w:rPr>
        <w:t xml:space="preserve">. Esto permitiría que, llegada una situación de tensión, los bancos pudieran hacer frente a situaciones de necesidad de liquidez en el corto y medio plazo. </w:t>
      </w:r>
    </w:p>
    <w:p w14:paraId="379E26DD" w14:textId="2F330CD6" w:rsidR="001136E7" w:rsidRDefault="001136E7" w:rsidP="00AC1B36">
      <w:pPr>
        <w:spacing w:line="300" w:lineRule="auto"/>
        <w:rPr>
          <w:rFonts w:ascii="Garamond" w:hAnsi="Garamond"/>
          <w:sz w:val="30"/>
          <w:szCs w:val="30"/>
        </w:rPr>
      </w:pPr>
    </w:p>
    <w:p w14:paraId="1B1F47E2" w14:textId="7737B54C" w:rsidR="00A3237B" w:rsidRPr="00AC1B36" w:rsidRDefault="0026046A" w:rsidP="00AC1B36">
      <w:pPr>
        <w:pStyle w:val="Prrafodelista"/>
        <w:numPr>
          <w:ilvl w:val="0"/>
          <w:numId w:val="3"/>
        </w:numPr>
        <w:spacing w:line="300" w:lineRule="auto"/>
        <w:contextualSpacing w:val="0"/>
        <w:rPr>
          <w:rFonts w:ascii="Garamond" w:hAnsi="Garamond" w:cs="Times New Roman"/>
          <w:b/>
          <w:sz w:val="30"/>
          <w:szCs w:val="30"/>
        </w:rPr>
      </w:pPr>
      <w:r w:rsidRPr="00AC1B36">
        <w:rPr>
          <w:rFonts w:ascii="Garamond" w:hAnsi="Garamond" w:cs="Times New Roman"/>
          <w:b/>
          <w:sz w:val="30"/>
          <w:szCs w:val="30"/>
        </w:rPr>
        <w:t>Conclusiones</w:t>
      </w:r>
      <w:r w:rsidR="00817968" w:rsidRPr="00AC1B36">
        <w:rPr>
          <w:rFonts w:ascii="Garamond" w:hAnsi="Garamond" w:cs="Times New Roman"/>
          <w:b/>
          <w:sz w:val="30"/>
          <w:szCs w:val="30"/>
        </w:rPr>
        <w:t xml:space="preserve">: hacia dónde se dirige la regulación bancaria </w:t>
      </w:r>
      <w:r w:rsidRPr="00AC1B36">
        <w:rPr>
          <w:rFonts w:ascii="Garamond" w:hAnsi="Garamond" w:cs="Times New Roman"/>
          <w:b/>
          <w:sz w:val="30"/>
          <w:szCs w:val="30"/>
        </w:rPr>
        <w:t xml:space="preserve"> </w:t>
      </w:r>
    </w:p>
    <w:p w14:paraId="3350E7F0" w14:textId="5B513260" w:rsidR="0026046A" w:rsidRPr="006544FD" w:rsidRDefault="00715D84" w:rsidP="00AC1B36">
      <w:pPr>
        <w:spacing w:line="300" w:lineRule="auto"/>
        <w:rPr>
          <w:rFonts w:ascii="Garamond" w:hAnsi="Garamond" w:cs="Times New Roman"/>
          <w:sz w:val="24"/>
          <w:szCs w:val="24"/>
        </w:rPr>
      </w:pPr>
      <w:r w:rsidRPr="006544FD">
        <w:rPr>
          <w:rFonts w:ascii="Garamond" w:hAnsi="Garamond" w:cs="Times New Roman"/>
          <w:sz w:val="24"/>
          <w:szCs w:val="24"/>
        </w:rPr>
        <w:t xml:space="preserve">Once años después del comienzo de la crisis económica y financiera, ésta parece dar sus últimos coletazos. Durante esta década, el sistema bancario (y financiero ampliamente) ha sufrido un gran cambio. El fin de las cajas de ahorro, la fusión y, por ende, </w:t>
      </w:r>
      <w:r w:rsidR="003E3487">
        <w:rPr>
          <w:rFonts w:ascii="Garamond" w:hAnsi="Garamond" w:cs="Times New Roman"/>
          <w:sz w:val="24"/>
          <w:szCs w:val="24"/>
        </w:rPr>
        <w:t xml:space="preserve">la </w:t>
      </w:r>
      <w:r w:rsidRPr="006544FD">
        <w:rPr>
          <w:rFonts w:ascii="Garamond" w:hAnsi="Garamond" w:cs="Times New Roman"/>
          <w:sz w:val="24"/>
          <w:szCs w:val="24"/>
        </w:rPr>
        <w:t xml:space="preserve">disminución del número de operadores, los cambios regulatorios que se han mencionado a lo largo del presente trabajo… </w:t>
      </w:r>
      <w:r w:rsidR="00C061E3">
        <w:rPr>
          <w:rFonts w:ascii="Garamond" w:hAnsi="Garamond" w:cs="Times New Roman"/>
          <w:sz w:val="24"/>
          <w:szCs w:val="24"/>
        </w:rPr>
        <w:t>Con todo ello, e</w:t>
      </w:r>
      <w:r w:rsidRPr="006544FD">
        <w:rPr>
          <w:rFonts w:ascii="Garamond" w:hAnsi="Garamond" w:cs="Times New Roman"/>
          <w:sz w:val="24"/>
          <w:szCs w:val="24"/>
        </w:rPr>
        <w:t xml:space="preserve">l sistema bancario de hoy no es el mismo que el de hace diez años. </w:t>
      </w:r>
    </w:p>
    <w:p w14:paraId="6E9209F0" w14:textId="191F83C4" w:rsidR="00715D84" w:rsidRPr="006544FD" w:rsidRDefault="00F56FB1" w:rsidP="00AC1B36">
      <w:pPr>
        <w:spacing w:line="300" w:lineRule="auto"/>
        <w:rPr>
          <w:rFonts w:ascii="Garamond" w:hAnsi="Garamond" w:cs="Times New Roman"/>
          <w:sz w:val="24"/>
          <w:szCs w:val="24"/>
        </w:rPr>
      </w:pPr>
      <w:r w:rsidRPr="006544FD">
        <w:rPr>
          <w:rFonts w:ascii="Garamond" w:hAnsi="Garamond" w:cs="Times New Roman"/>
          <w:sz w:val="24"/>
          <w:szCs w:val="24"/>
        </w:rPr>
        <w:t xml:space="preserve">Basilea III era prácticamente solvencia y supervisión, y concluye con un ahorrador más protegido </w:t>
      </w:r>
      <w:r w:rsidR="00C061E3">
        <w:rPr>
          <w:rFonts w:ascii="Garamond" w:hAnsi="Garamond" w:cs="Times New Roman"/>
          <w:sz w:val="24"/>
          <w:szCs w:val="24"/>
        </w:rPr>
        <w:t>e</w:t>
      </w:r>
      <w:r w:rsidRPr="006544FD">
        <w:rPr>
          <w:rFonts w:ascii="Garamond" w:hAnsi="Garamond" w:cs="Times New Roman"/>
          <w:sz w:val="24"/>
          <w:szCs w:val="24"/>
        </w:rPr>
        <w:t xml:space="preserve"> informado. No obstante, h</w:t>
      </w:r>
      <w:r w:rsidR="00715D84" w:rsidRPr="006544FD">
        <w:rPr>
          <w:rFonts w:ascii="Garamond" w:hAnsi="Garamond" w:cs="Times New Roman"/>
          <w:sz w:val="24"/>
          <w:szCs w:val="24"/>
        </w:rPr>
        <w:t>oy, ya ni siquiera la vista está puesta en Basilea III, sino en el siguiente paquete, el que se denomina “post-Basilea III” o Basilea IV</w:t>
      </w:r>
      <w:r w:rsidRPr="006544FD">
        <w:rPr>
          <w:rFonts w:ascii="Garamond" w:hAnsi="Garamond" w:cs="Times New Roman"/>
          <w:sz w:val="24"/>
          <w:szCs w:val="24"/>
        </w:rPr>
        <w:t>. A</w:t>
      </w:r>
      <w:r w:rsidR="00C061E3">
        <w:rPr>
          <w:rFonts w:ascii="Garamond" w:hAnsi="Garamond" w:cs="Times New Roman"/>
          <w:sz w:val="24"/>
          <w:szCs w:val="24"/>
        </w:rPr>
        <w:t xml:space="preserve">hora, en el seno de </w:t>
      </w:r>
      <w:r w:rsidRPr="006544FD">
        <w:rPr>
          <w:rFonts w:ascii="Garamond" w:hAnsi="Garamond" w:cs="Times New Roman"/>
          <w:sz w:val="24"/>
          <w:szCs w:val="24"/>
        </w:rPr>
        <w:t>la UE</w:t>
      </w:r>
      <w:r w:rsidR="00C061E3">
        <w:rPr>
          <w:rFonts w:ascii="Garamond" w:hAnsi="Garamond" w:cs="Times New Roman"/>
          <w:sz w:val="24"/>
          <w:szCs w:val="24"/>
        </w:rPr>
        <w:t xml:space="preserve"> se vienen implementando</w:t>
      </w:r>
      <w:r w:rsidRPr="006544FD">
        <w:rPr>
          <w:rFonts w:ascii="Garamond" w:hAnsi="Garamond" w:cs="Times New Roman"/>
          <w:sz w:val="24"/>
          <w:szCs w:val="24"/>
        </w:rPr>
        <w:t xml:space="preserve"> estándares de </w:t>
      </w:r>
      <w:r w:rsidR="00C061E3">
        <w:rPr>
          <w:rFonts w:ascii="Garamond" w:hAnsi="Garamond" w:cs="Times New Roman"/>
          <w:sz w:val="24"/>
          <w:szCs w:val="24"/>
        </w:rPr>
        <w:t xml:space="preserve">buena </w:t>
      </w:r>
      <w:r w:rsidRPr="006544FD">
        <w:rPr>
          <w:rFonts w:ascii="Garamond" w:hAnsi="Garamond" w:cs="Times New Roman"/>
          <w:sz w:val="24"/>
          <w:szCs w:val="24"/>
        </w:rPr>
        <w:t>gobernanza</w:t>
      </w:r>
      <w:r w:rsidR="00C061E3">
        <w:rPr>
          <w:rFonts w:ascii="Garamond" w:hAnsi="Garamond" w:cs="Times New Roman"/>
          <w:sz w:val="24"/>
          <w:szCs w:val="24"/>
        </w:rPr>
        <w:t>. Paralelamente</w:t>
      </w:r>
      <w:r w:rsidRPr="006544FD">
        <w:rPr>
          <w:rFonts w:ascii="Garamond" w:hAnsi="Garamond" w:cs="Times New Roman"/>
          <w:sz w:val="24"/>
          <w:szCs w:val="24"/>
        </w:rPr>
        <w:t>,</w:t>
      </w:r>
      <w:r w:rsidR="00405290" w:rsidRPr="006544FD">
        <w:rPr>
          <w:rFonts w:ascii="Garamond" w:hAnsi="Garamond" w:cs="Times New Roman"/>
          <w:sz w:val="24"/>
          <w:szCs w:val="24"/>
        </w:rPr>
        <w:t xml:space="preserve"> desde 2016, el Comité de Basilea viene revisando los APR de los requerimientos de Basilea III. </w:t>
      </w:r>
      <w:r w:rsidR="00C061E3">
        <w:rPr>
          <w:rFonts w:ascii="Garamond" w:hAnsi="Garamond" w:cs="Times New Roman"/>
          <w:sz w:val="24"/>
          <w:szCs w:val="24"/>
        </w:rPr>
        <w:t xml:space="preserve">Este paquete regulatorio también comenzó a revisarse por la Comisión Europea, quien </w:t>
      </w:r>
      <w:r w:rsidR="00C061E3">
        <w:rPr>
          <w:rFonts w:ascii="Garamond" w:hAnsi="Garamond" w:cs="Times New Roman"/>
          <w:sz w:val="24"/>
          <w:szCs w:val="24"/>
        </w:rPr>
        <w:lastRenderedPageBreak/>
        <w:t xml:space="preserve">emitiese </w:t>
      </w:r>
      <w:r w:rsidR="00715D84" w:rsidRPr="006544FD">
        <w:rPr>
          <w:rFonts w:ascii="Garamond" w:hAnsi="Garamond" w:cs="Times New Roman"/>
          <w:sz w:val="24"/>
          <w:szCs w:val="24"/>
        </w:rPr>
        <w:t>diversas comunicaciones, como la Comunicación sobre la culminación de la Unión Bancaria (</w:t>
      </w:r>
      <w:r w:rsidR="00715D84" w:rsidRPr="006544FD">
        <w:rPr>
          <w:rFonts w:ascii="Garamond" w:hAnsi="Garamond"/>
          <w:sz w:val="24"/>
          <w:szCs w:val="24"/>
        </w:rPr>
        <w:t>COM</w:t>
      </w:r>
      <w:r w:rsidR="008053E4" w:rsidRPr="006544FD">
        <w:rPr>
          <w:rFonts w:ascii="Garamond" w:hAnsi="Garamond"/>
          <w:sz w:val="24"/>
          <w:szCs w:val="24"/>
        </w:rPr>
        <w:t xml:space="preserve"> </w:t>
      </w:r>
      <w:r w:rsidR="00715D84" w:rsidRPr="006544FD">
        <w:rPr>
          <w:rFonts w:ascii="Garamond" w:hAnsi="Garamond"/>
          <w:sz w:val="24"/>
          <w:szCs w:val="24"/>
        </w:rPr>
        <w:t>(2017) 592 final).</w:t>
      </w:r>
      <w:r w:rsidR="008053E4" w:rsidRPr="006544FD">
        <w:rPr>
          <w:rFonts w:ascii="Garamond" w:hAnsi="Garamond"/>
          <w:sz w:val="24"/>
          <w:szCs w:val="24"/>
        </w:rPr>
        <w:t xml:space="preserve"> </w:t>
      </w:r>
    </w:p>
    <w:p w14:paraId="2E8649B4" w14:textId="1DE6D52C" w:rsidR="00C2252A" w:rsidRPr="006544FD" w:rsidRDefault="00405290" w:rsidP="00AC1B36">
      <w:pPr>
        <w:spacing w:line="300" w:lineRule="auto"/>
        <w:rPr>
          <w:rFonts w:ascii="Garamond" w:hAnsi="Garamond" w:cs="Times New Roman"/>
          <w:sz w:val="24"/>
          <w:szCs w:val="24"/>
        </w:rPr>
      </w:pPr>
      <w:r w:rsidRPr="006544FD">
        <w:rPr>
          <w:rFonts w:ascii="Garamond" w:hAnsi="Garamond" w:cs="Times New Roman"/>
          <w:sz w:val="24"/>
          <w:szCs w:val="24"/>
        </w:rPr>
        <w:t>Hasta el momento, parece que las reformas se han hecho a marchas forzadas, inminentes y a fuerza de tratar los asuntos según iban apareciendo. El laberinto normativo y el entramado institucional es enorme y de gran complejidad.</w:t>
      </w:r>
      <w:r w:rsidR="00C2252A" w:rsidRPr="006544FD">
        <w:rPr>
          <w:rFonts w:ascii="Garamond" w:hAnsi="Garamond" w:cs="Times New Roman"/>
          <w:sz w:val="24"/>
          <w:szCs w:val="24"/>
        </w:rPr>
        <w:t xml:space="preserve"> </w:t>
      </w:r>
      <w:r w:rsidR="008053E4" w:rsidRPr="006544FD">
        <w:rPr>
          <w:rFonts w:ascii="Garamond" w:hAnsi="Garamond" w:cs="Times New Roman"/>
          <w:sz w:val="24"/>
          <w:szCs w:val="24"/>
        </w:rPr>
        <w:t>Por ejemplo, e</w:t>
      </w:r>
      <w:r w:rsidR="00C2252A" w:rsidRPr="006544FD">
        <w:rPr>
          <w:rFonts w:ascii="Garamond" w:hAnsi="Garamond" w:cs="Times New Roman"/>
          <w:sz w:val="24"/>
          <w:szCs w:val="24"/>
        </w:rPr>
        <w:t xml:space="preserve">l mecanismo por el cual el MUS asigna a cada banco un requerimiento mínimo de capital ha recibido varias críticas dada su opacidad. Resultaría, por tanto, consecuente, ofrecer transparencia a las entidades. </w:t>
      </w:r>
    </w:p>
    <w:p w14:paraId="44BBEFAD" w14:textId="26A1DECA" w:rsidR="00C2252A" w:rsidRPr="006544FD" w:rsidRDefault="00F56FB1" w:rsidP="00AC1B36">
      <w:pPr>
        <w:spacing w:line="300" w:lineRule="auto"/>
        <w:rPr>
          <w:rFonts w:ascii="Garamond" w:hAnsi="Garamond" w:cs="Times New Roman"/>
          <w:sz w:val="24"/>
          <w:szCs w:val="24"/>
        </w:rPr>
      </w:pPr>
      <w:r w:rsidRPr="006544FD">
        <w:rPr>
          <w:rFonts w:ascii="Garamond" w:hAnsi="Garamond" w:cs="Times New Roman"/>
          <w:sz w:val="24"/>
          <w:szCs w:val="24"/>
        </w:rPr>
        <w:t>También, e</w:t>
      </w:r>
      <w:r w:rsidR="00C2252A" w:rsidRPr="006544FD">
        <w:rPr>
          <w:rFonts w:ascii="Garamond" w:hAnsi="Garamond" w:cs="Times New Roman"/>
          <w:sz w:val="24"/>
          <w:szCs w:val="24"/>
        </w:rPr>
        <w:t xml:space="preserve">ntre los retos pendientes, resultaría oportuno profundizar más </w:t>
      </w:r>
      <w:r w:rsidR="00433331" w:rsidRPr="006544FD">
        <w:rPr>
          <w:rFonts w:ascii="Garamond" w:hAnsi="Garamond" w:cs="Times New Roman"/>
          <w:sz w:val="24"/>
          <w:szCs w:val="24"/>
        </w:rPr>
        <w:t>en las siguientes cuestiones clave:</w:t>
      </w:r>
    </w:p>
    <w:p w14:paraId="0799C4AD" w14:textId="4DEA5C32" w:rsidR="00C2252A" w:rsidRPr="006544FD" w:rsidRDefault="00C2252A" w:rsidP="00AC1B36">
      <w:pPr>
        <w:pStyle w:val="Prrafodelista"/>
        <w:numPr>
          <w:ilvl w:val="0"/>
          <w:numId w:val="1"/>
        </w:numPr>
        <w:spacing w:before="240" w:line="300" w:lineRule="auto"/>
        <w:contextualSpacing w:val="0"/>
        <w:rPr>
          <w:rFonts w:ascii="Garamond" w:hAnsi="Garamond" w:cs="Times New Roman"/>
          <w:sz w:val="24"/>
          <w:szCs w:val="24"/>
        </w:rPr>
      </w:pPr>
      <w:r w:rsidRPr="006544FD">
        <w:rPr>
          <w:rFonts w:ascii="Garamond" w:hAnsi="Garamond"/>
          <w:sz w:val="24"/>
          <w:szCs w:val="24"/>
        </w:rPr>
        <w:t>Construir regímenes efectivos de resolución y elaborar planes adecuados de recuperación. El MUR</w:t>
      </w:r>
      <w:r w:rsidR="00F56FB1" w:rsidRPr="006544FD">
        <w:rPr>
          <w:rFonts w:ascii="Garamond" w:hAnsi="Garamond"/>
          <w:sz w:val="24"/>
          <w:szCs w:val="24"/>
        </w:rPr>
        <w:t xml:space="preserve">, el pilar menos destacado de los dos vigentes de la Unión Bancaria, debe asentarse más y, en la medida de lo posible, extrapolar su método al escenario internacional a fin de establecer un mecanismo </w:t>
      </w:r>
      <w:r w:rsidR="00433331" w:rsidRPr="006544FD">
        <w:rPr>
          <w:rFonts w:ascii="Garamond" w:hAnsi="Garamond"/>
          <w:sz w:val="24"/>
          <w:szCs w:val="24"/>
        </w:rPr>
        <w:t xml:space="preserve">común en el sistema financiero internacional. </w:t>
      </w:r>
    </w:p>
    <w:p w14:paraId="1272E412" w14:textId="6007355F" w:rsidR="00C2252A" w:rsidRPr="006544FD" w:rsidRDefault="00C2252A" w:rsidP="00AC1B36">
      <w:pPr>
        <w:pStyle w:val="Prrafodelista"/>
        <w:numPr>
          <w:ilvl w:val="0"/>
          <w:numId w:val="1"/>
        </w:numPr>
        <w:spacing w:before="240" w:line="300" w:lineRule="auto"/>
        <w:contextualSpacing w:val="0"/>
        <w:rPr>
          <w:rFonts w:ascii="Garamond" w:hAnsi="Garamond" w:cs="Times New Roman"/>
          <w:sz w:val="24"/>
          <w:szCs w:val="24"/>
        </w:rPr>
      </w:pPr>
      <w:r w:rsidRPr="006544FD">
        <w:rPr>
          <w:rFonts w:ascii="Garamond" w:hAnsi="Garamond" w:cs="Times New Roman"/>
          <w:sz w:val="24"/>
          <w:szCs w:val="24"/>
        </w:rPr>
        <w:t>En la UE, el Sistema Europeo de Garantía de Depósitos</w:t>
      </w:r>
      <w:r w:rsidR="00433331" w:rsidRPr="006544FD">
        <w:rPr>
          <w:rFonts w:ascii="Garamond" w:hAnsi="Garamond" w:cs="Times New Roman"/>
          <w:sz w:val="24"/>
          <w:szCs w:val="24"/>
        </w:rPr>
        <w:t xml:space="preserve"> sigue pendiente debido a las reticencias de varios Estados Miembros. Aunque España ya cuenta con un fondo que cubre hasta los 100.000 €, la idea de implantar un fondo comunitario significaría un paso hacia la mayor confianza en el sistema (evitando el pánico bancario de retiradas masivas) y, por supuesto de la culminación de la integración. Ya se ha visto que, un mercado descoordinado es incapaz de hacer frente a las crisis.</w:t>
      </w:r>
    </w:p>
    <w:p w14:paraId="3BBE41D1" w14:textId="40125A6C" w:rsidR="00817968" w:rsidRPr="006544FD" w:rsidRDefault="00817968" w:rsidP="00AC1B36">
      <w:pPr>
        <w:pStyle w:val="Prrafodelista"/>
        <w:numPr>
          <w:ilvl w:val="0"/>
          <w:numId w:val="1"/>
        </w:numPr>
        <w:spacing w:before="240" w:line="300" w:lineRule="auto"/>
        <w:contextualSpacing w:val="0"/>
        <w:rPr>
          <w:rFonts w:ascii="Garamond" w:hAnsi="Garamond" w:cs="Times New Roman"/>
          <w:sz w:val="24"/>
          <w:szCs w:val="24"/>
        </w:rPr>
      </w:pPr>
      <w:r w:rsidRPr="006544FD">
        <w:rPr>
          <w:rFonts w:ascii="Garamond" w:hAnsi="Garamond" w:cs="Times New Roman"/>
          <w:sz w:val="24"/>
          <w:szCs w:val="24"/>
        </w:rPr>
        <w:t xml:space="preserve">Una mayor coordinación de las Autoridades y organismos creados bajo el paraguas de la Unión Bancaria y del Sistema Europeo de Supervisión Financiera, a fin de simplificar y clarificar todos los procedimientos. </w:t>
      </w:r>
    </w:p>
    <w:p w14:paraId="78C7E7A7" w14:textId="7822D3F3" w:rsidR="00817968" w:rsidRPr="006544FD" w:rsidRDefault="00817968" w:rsidP="00AC1B36">
      <w:pPr>
        <w:pStyle w:val="Prrafodelista"/>
        <w:numPr>
          <w:ilvl w:val="0"/>
          <w:numId w:val="1"/>
        </w:numPr>
        <w:spacing w:before="240" w:line="300" w:lineRule="auto"/>
        <w:contextualSpacing w:val="0"/>
        <w:rPr>
          <w:rFonts w:ascii="Garamond" w:hAnsi="Garamond" w:cs="Times New Roman"/>
          <w:sz w:val="24"/>
          <w:szCs w:val="24"/>
        </w:rPr>
      </w:pPr>
      <w:r w:rsidRPr="006544FD">
        <w:rPr>
          <w:rFonts w:ascii="Garamond" w:hAnsi="Garamond" w:cs="Times New Roman"/>
          <w:sz w:val="24"/>
          <w:szCs w:val="24"/>
        </w:rPr>
        <w:t xml:space="preserve">La digitalización y la aparición de nuevos operadores, denominados Fintech, que amenazan a los operadores tradicionales. Hasta el momento, la asunción legal que han tomado las autoridades es la de sometimiento al principio de neutralidad tecnológica (a misma actividad, misma regulación). No obstante, se están comenzando a implantar algunos </w:t>
      </w:r>
      <w:proofErr w:type="spellStart"/>
      <w:r w:rsidRPr="006544FD">
        <w:rPr>
          <w:rFonts w:ascii="Garamond" w:hAnsi="Garamond" w:cs="Times New Roman"/>
          <w:i/>
          <w:sz w:val="24"/>
          <w:szCs w:val="24"/>
        </w:rPr>
        <w:t>sandbox</w:t>
      </w:r>
      <w:proofErr w:type="spellEnd"/>
      <w:r w:rsidRPr="006544FD">
        <w:rPr>
          <w:rFonts w:ascii="Garamond" w:hAnsi="Garamond" w:cs="Times New Roman"/>
          <w:i/>
          <w:sz w:val="24"/>
          <w:szCs w:val="24"/>
        </w:rPr>
        <w:t xml:space="preserve"> </w:t>
      </w:r>
      <w:r w:rsidRPr="006544FD">
        <w:rPr>
          <w:rFonts w:ascii="Garamond" w:hAnsi="Garamond" w:cs="Times New Roman"/>
          <w:sz w:val="24"/>
          <w:szCs w:val="24"/>
        </w:rPr>
        <w:t xml:space="preserve">por Europa. </w:t>
      </w:r>
    </w:p>
    <w:p w14:paraId="6F60C7CC" w14:textId="77777777" w:rsidR="00712381" w:rsidRPr="006544FD" w:rsidRDefault="00712381" w:rsidP="00AC1B36">
      <w:pPr>
        <w:spacing w:line="300" w:lineRule="auto"/>
        <w:rPr>
          <w:rFonts w:ascii="Garamond" w:hAnsi="Garamond" w:cs="Times New Roman"/>
          <w:sz w:val="24"/>
          <w:szCs w:val="24"/>
        </w:rPr>
      </w:pPr>
    </w:p>
    <w:p w14:paraId="6B2A0D48" w14:textId="7F6D3D34" w:rsidR="00F56FB1" w:rsidRPr="006544FD" w:rsidRDefault="00433331" w:rsidP="00AC1B36">
      <w:pPr>
        <w:spacing w:line="300" w:lineRule="auto"/>
        <w:rPr>
          <w:rFonts w:ascii="Garamond" w:hAnsi="Garamond" w:cs="Times New Roman"/>
          <w:sz w:val="24"/>
          <w:szCs w:val="24"/>
        </w:rPr>
      </w:pPr>
      <w:r w:rsidRPr="006544FD">
        <w:rPr>
          <w:rFonts w:ascii="Garamond" w:hAnsi="Garamond" w:cs="Times New Roman"/>
          <w:sz w:val="24"/>
          <w:szCs w:val="24"/>
        </w:rPr>
        <w:t>En conclusión, el actual marco normativo ha conseguido sentar las bases de una supervisión amplia y un sistema robusto. No obstante, es necesario culminar las reformas emprendidas con el fin de cubrir las deficiencias que han quedado a la luz. Ahor</w:t>
      </w:r>
      <w:r w:rsidR="00756017">
        <w:rPr>
          <w:rFonts w:ascii="Garamond" w:hAnsi="Garamond" w:cs="Times New Roman"/>
          <w:sz w:val="24"/>
          <w:szCs w:val="24"/>
        </w:rPr>
        <w:t xml:space="preserve">a </w:t>
      </w:r>
      <w:r w:rsidRPr="006544FD">
        <w:rPr>
          <w:rFonts w:ascii="Garamond" w:hAnsi="Garamond" w:cs="Times New Roman"/>
          <w:sz w:val="24"/>
          <w:szCs w:val="24"/>
        </w:rPr>
        <w:t xml:space="preserve">es posible. En el seno de la crisis, la implantación de reformas podría dificultar ver los puntos flacos de una gigantesca y continuada producción normativa. Actualmente, con un cierto margen de implementación es preciso atender a los retos más urgentes del nuevo sistema financiero. </w:t>
      </w:r>
    </w:p>
    <w:p w14:paraId="74CD7DDE" w14:textId="0709CD91" w:rsidR="00712381" w:rsidRDefault="00712381" w:rsidP="00AC1B36">
      <w:pPr>
        <w:spacing w:line="300" w:lineRule="auto"/>
        <w:rPr>
          <w:rFonts w:ascii="Garamond" w:hAnsi="Garamond" w:cs="Times New Roman"/>
          <w:sz w:val="24"/>
          <w:szCs w:val="24"/>
        </w:rPr>
      </w:pPr>
    </w:p>
    <w:p w14:paraId="0916A822" w14:textId="2043C173" w:rsidR="00712381" w:rsidRPr="004F1BDF" w:rsidRDefault="00C061E3" w:rsidP="00AC1B36">
      <w:pPr>
        <w:spacing w:line="300" w:lineRule="auto"/>
        <w:jc w:val="center"/>
        <w:rPr>
          <w:rFonts w:ascii="Garamond" w:hAnsi="Garamond" w:cs="Times New Roman"/>
          <w:b/>
          <w:sz w:val="30"/>
          <w:szCs w:val="30"/>
          <w:lang w:val="en-US"/>
        </w:rPr>
      </w:pPr>
      <w:proofErr w:type="spellStart"/>
      <w:r w:rsidRPr="004F1BDF">
        <w:rPr>
          <w:rFonts w:ascii="Garamond" w:hAnsi="Garamond" w:cs="Times New Roman"/>
          <w:b/>
          <w:sz w:val="30"/>
          <w:szCs w:val="30"/>
          <w:lang w:val="en-US"/>
        </w:rPr>
        <w:lastRenderedPageBreak/>
        <w:t>Bibliografía</w:t>
      </w:r>
      <w:proofErr w:type="spellEnd"/>
    </w:p>
    <w:p w14:paraId="0F05C560" w14:textId="60DDC634" w:rsidR="00590290" w:rsidRPr="006544FD" w:rsidRDefault="00E04C0B" w:rsidP="00AC1B36">
      <w:pPr>
        <w:spacing w:before="240" w:line="300" w:lineRule="auto"/>
        <w:rPr>
          <w:rFonts w:ascii="Garamond" w:hAnsi="Garamond" w:cs="Times New Roman"/>
          <w:sz w:val="24"/>
          <w:szCs w:val="24"/>
        </w:rPr>
      </w:pPr>
      <w:proofErr w:type="spellStart"/>
      <w:r w:rsidRPr="004F1BDF">
        <w:rPr>
          <w:rFonts w:ascii="Garamond" w:hAnsi="Garamond" w:cs="Times New Roman"/>
          <w:sz w:val="24"/>
          <w:szCs w:val="24"/>
          <w:lang w:val="en-US"/>
        </w:rPr>
        <w:t>Lamfalussy</w:t>
      </w:r>
      <w:proofErr w:type="spellEnd"/>
      <w:r w:rsidRPr="004F1BDF">
        <w:rPr>
          <w:rFonts w:ascii="Garamond" w:hAnsi="Garamond" w:cs="Times New Roman"/>
          <w:sz w:val="24"/>
          <w:szCs w:val="24"/>
          <w:lang w:val="en-US"/>
        </w:rPr>
        <w:t>, A</w:t>
      </w:r>
      <w:r w:rsidR="00887187" w:rsidRPr="004F1BDF">
        <w:rPr>
          <w:rFonts w:ascii="Garamond" w:hAnsi="Garamond" w:cs="Times New Roman"/>
          <w:sz w:val="24"/>
          <w:szCs w:val="24"/>
          <w:lang w:val="en-US"/>
        </w:rPr>
        <w:t>.,</w:t>
      </w:r>
      <w:r w:rsidRPr="004F1BDF">
        <w:rPr>
          <w:rFonts w:ascii="Garamond" w:hAnsi="Garamond" w:cs="Times New Roman"/>
          <w:sz w:val="24"/>
          <w:szCs w:val="24"/>
          <w:lang w:val="en-US"/>
        </w:rPr>
        <w:t xml:space="preserve"> Final Report of the Committee of Wise men on the regulation of </w:t>
      </w:r>
      <w:proofErr w:type="spellStart"/>
      <w:r w:rsidRPr="004F1BDF">
        <w:rPr>
          <w:rFonts w:ascii="Garamond" w:hAnsi="Garamond" w:cs="Times New Roman"/>
          <w:sz w:val="24"/>
          <w:szCs w:val="24"/>
          <w:lang w:val="en-US"/>
        </w:rPr>
        <w:t>european</w:t>
      </w:r>
      <w:proofErr w:type="spellEnd"/>
      <w:r w:rsidRPr="004F1BDF">
        <w:rPr>
          <w:rFonts w:ascii="Garamond" w:hAnsi="Garamond" w:cs="Times New Roman"/>
          <w:sz w:val="24"/>
          <w:szCs w:val="24"/>
          <w:lang w:val="en-US"/>
        </w:rPr>
        <w:t xml:space="preserve"> securities markets</w:t>
      </w:r>
      <w:r w:rsidR="00887187" w:rsidRPr="004F1BDF">
        <w:rPr>
          <w:rFonts w:ascii="Garamond" w:hAnsi="Garamond" w:cs="Times New Roman"/>
          <w:sz w:val="24"/>
          <w:szCs w:val="24"/>
          <w:lang w:val="en-US"/>
        </w:rPr>
        <w:t xml:space="preserve"> (2001),</w:t>
      </w:r>
      <w:r w:rsidRPr="004F1BDF">
        <w:rPr>
          <w:rFonts w:ascii="Garamond" w:hAnsi="Garamond" w:cs="Times New Roman"/>
          <w:sz w:val="24"/>
          <w:szCs w:val="24"/>
          <w:lang w:val="en-US"/>
        </w:rPr>
        <w:t xml:space="preserve"> ECOFIN. </w:t>
      </w:r>
      <w:hyperlink r:id="rId9" w:history="1">
        <w:r w:rsidRPr="006544FD">
          <w:rPr>
            <w:rStyle w:val="Hipervnculo"/>
            <w:rFonts w:ascii="Garamond" w:hAnsi="Garamond" w:cs="Times New Roman"/>
            <w:sz w:val="24"/>
            <w:szCs w:val="24"/>
          </w:rPr>
          <w:t>https://www.esma.europa.eu/sites/default/files/library/2015/11/lamfalussy_report.pdf</w:t>
        </w:r>
      </w:hyperlink>
      <w:r w:rsidRPr="006544FD">
        <w:rPr>
          <w:rFonts w:ascii="Garamond" w:hAnsi="Garamond" w:cs="Times New Roman"/>
          <w:sz w:val="24"/>
          <w:szCs w:val="24"/>
        </w:rPr>
        <w:t xml:space="preserve"> </w:t>
      </w:r>
    </w:p>
    <w:p w14:paraId="13D6CEA6" w14:textId="33B7A6AE" w:rsidR="00325058" w:rsidRPr="006544FD" w:rsidRDefault="00325058" w:rsidP="00AC1B36">
      <w:pPr>
        <w:spacing w:before="240" w:line="300" w:lineRule="auto"/>
        <w:rPr>
          <w:rFonts w:ascii="Garamond" w:hAnsi="Garamond" w:cs="Times New Roman"/>
          <w:sz w:val="24"/>
          <w:szCs w:val="24"/>
        </w:rPr>
      </w:pPr>
      <w:r w:rsidRPr="006544FD">
        <w:rPr>
          <w:rFonts w:ascii="Garamond" w:hAnsi="Garamond" w:cs="Times New Roman"/>
          <w:sz w:val="24"/>
          <w:szCs w:val="24"/>
        </w:rPr>
        <w:t>Vargas</w:t>
      </w:r>
      <w:r w:rsidR="00887187">
        <w:rPr>
          <w:rFonts w:ascii="Garamond" w:hAnsi="Garamond" w:cs="Times New Roman"/>
          <w:sz w:val="24"/>
          <w:szCs w:val="24"/>
        </w:rPr>
        <w:t>, F.</w:t>
      </w:r>
      <w:r w:rsidRPr="006544FD">
        <w:rPr>
          <w:rFonts w:ascii="Garamond" w:hAnsi="Garamond" w:cs="Times New Roman"/>
          <w:sz w:val="24"/>
          <w:szCs w:val="24"/>
        </w:rPr>
        <w:t xml:space="preserve"> y </w:t>
      </w:r>
      <w:proofErr w:type="spellStart"/>
      <w:r w:rsidRPr="006544FD">
        <w:rPr>
          <w:rFonts w:ascii="Garamond" w:hAnsi="Garamond" w:cs="Times New Roman"/>
          <w:sz w:val="24"/>
          <w:szCs w:val="24"/>
        </w:rPr>
        <w:t>Lamamié</w:t>
      </w:r>
      <w:proofErr w:type="spellEnd"/>
      <w:r w:rsidRPr="006544FD">
        <w:rPr>
          <w:rFonts w:ascii="Garamond" w:hAnsi="Garamond" w:cs="Times New Roman"/>
          <w:sz w:val="24"/>
          <w:szCs w:val="24"/>
        </w:rPr>
        <w:t xml:space="preserve"> de </w:t>
      </w:r>
      <w:proofErr w:type="spellStart"/>
      <w:r w:rsidRPr="006544FD">
        <w:rPr>
          <w:rFonts w:ascii="Garamond" w:hAnsi="Garamond" w:cs="Times New Roman"/>
          <w:sz w:val="24"/>
          <w:szCs w:val="24"/>
        </w:rPr>
        <w:t>Clairac</w:t>
      </w:r>
      <w:proofErr w:type="spellEnd"/>
      <w:r w:rsidR="00887187">
        <w:rPr>
          <w:rFonts w:ascii="Garamond" w:hAnsi="Garamond" w:cs="Times New Roman"/>
          <w:sz w:val="24"/>
          <w:szCs w:val="24"/>
        </w:rPr>
        <w:t>, J.,</w:t>
      </w:r>
      <w:r w:rsidRPr="006544FD">
        <w:rPr>
          <w:rFonts w:ascii="Garamond" w:hAnsi="Garamond" w:cs="Times New Roman"/>
          <w:sz w:val="24"/>
          <w:szCs w:val="24"/>
        </w:rPr>
        <w:t xml:space="preserve"> </w:t>
      </w:r>
      <w:r w:rsidRPr="00887187">
        <w:rPr>
          <w:rFonts w:ascii="Garamond" w:hAnsi="Garamond" w:cs="Times New Roman"/>
          <w:sz w:val="24"/>
          <w:szCs w:val="24"/>
        </w:rPr>
        <w:t>L</w:t>
      </w:r>
      <w:r w:rsidR="00E04C0B" w:rsidRPr="00887187">
        <w:rPr>
          <w:rFonts w:ascii="Garamond" w:hAnsi="Garamond" w:cs="Times New Roman"/>
          <w:sz w:val="24"/>
          <w:szCs w:val="24"/>
        </w:rPr>
        <w:t>a nueva Circular sobre Solvencia de las Entidades de Crédito: contenido e impacto sobre la labor supervisora del Banco de España. Banco de España</w:t>
      </w:r>
      <w:r w:rsidR="00887187">
        <w:rPr>
          <w:rFonts w:ascii="Garamond" w:hAnsi="Garamond" w:cs="Times New Roman"/>
          <w:sz w:val="24"/>
          <w:szCs w:val="24"/>
        </w:rPr>
        <w:t>,</w:t>
      </w:r>
      <w:r w:rsidR="00E04C0B" w:rsidRPr="006544FD">
        <w:rPr>
          <w:rFonts w:ascii="Garamond" w:hAnsi="Garamond" w:cs="Times New Roman"/>
          <w:sz w:val="24"/>
          <w:szCs w:val="24"/>
        </w:rPr>
        <w:t xml:space="preserve"> </w:t>
      </w:r>
      <w:r w:rsidR="00E04C0B" w:rsidRPr="00887187">
        <w:rPr>
          <w:rFonts w:ascii="Garamond" w:hAnsi="Garamond" w:cs="Times New Roman"/>
          <w:i/>
          <w:sz w:val="24"/>
          <w:szCs w:val="24"/>
        </w:rPr>
        <w:t>Revista Estabilidad Financiera</w:t>
      </w:r>
      <w:r w:rsidR="00E04C0B" w:rsidRPr="006544FD">
        <w:rPr>
          <w:rFonts w:ascii="Garamond" w:hAnsi="Garamond" w:cs="Times New Roman"/>
          <w:sz w:val="24"/>
          <w:szCs w:val="24"/>
        </w:rPr>
        <w:t xml:space="preserve">, </w:t>
      </w:r>
      <w:proofErr w:type="spellStart"/>
      <w:r w:rsidR="00E04C0B" w:rsidRPr="006544FD">
        <w:rPr>
          <w:rFonts w:ascii="Garamond" w:hAnsi="Garamond" w:cs="Times New Roman"/>
          <w:sz w:val="24"/>
          <w:szCs w:val="24"/>
        </w:rPr>
        <w:t>nº</w:t>
      </w:r>
      <w:proofErr w:type="spellEnd"/>
      <w:r w:rsidR="00E04C0B" w:rsidRPr="006544FD">
        <w:rPr>
          <w:rFonts w:ascii="Garamond" w:hAnsi="Garamond" w:cs="Times New Roman"/>
          <w:sz w:val="24"/>
          <w:szCs w:val="24"/>
        </w:rPr>
        <w:t xml:space="preserve"> 15. </w:t>
      </w:r>
      <w:hyperlink r:id="rId10" w:history="1">
        <w:r w:rsidRPr="006544FD">
          <w:rPr>
            <w:rStyle w:val="Hipervnculo"/>
            <w:rFonts w:ascii="Garamond" w:hAnsi="Garamond" w:cs="Times New Roman"/>
            <w:sz w:val="24"/>
            <w:szCs w:val="24"/>
          </w:rPr>
          <w:t>https://www.bde.es/f/webbde/Secciones/Publicaciones/InformesBoletinesRevistas/RevistaEstabilidadFinanciera/08/Nov/Fic/ief0515.pdf</w:t>
        </w:r>
      </w:hyperlink>
    </w:p>
    <w:p w14:paraId="54476417" w14:textId="6D2AA7E6" w:rsidR="00BB1D4A" w:rsidRPr="006544FD" w:rsidRDefault="00E04C0B" w:rsidP="00AC1B36">
      <w:pPr>
        <w:spacing w:before="240" w:line="300" w:lineRule="auto"/>
        <w:rPr>
          <w:rFonts w:ascii="Garamond" w:hAnsi="Garamond" w:cs="Times New Roman"/>
          <w:sz w:val="24"/>
          <w:szCs w:val="24"/>
        </w:rPr>
      </w:pPr>
      <w:r w:rsidRPr="006544FD">
        <w:rPr>
          <w:rFonts w:ascii="Garamond" w:hAnsi="Garamond" w:cs="Times New Roman"/>
          <w:sz w:val="24"/>
          <w:szCs w:val="24"/>
        </w:rPr>
        <w:t>Parlamento Europeo</w:t>
      </w:r>
      <w:r w:rsidR="00EA479E">
        <w:rPr>
          <w:rFonts w:ascii="Garamond" w:hAnsi="Garamond" w:cs="Times New Roman"/>
          <w:sz w:val="24"/>
          <w:szCs w:val="24"/>
        </w:rPr>
        <w:t>,</w:t>
      </w:r>
      <w:r w:rsidRPr="006544FD">
        <w:rPr>
          <w:rFonts w:ascii="Garamond" w:hAnsi="Garamond" w:cs="Times New Roman"/>
          <w:sz w:val="24"/>
          <w:szCs w:val="24"/>
        </w:rPr>
        <w:t xml:space="preserve"> </w:t>
      </w:r>
      <w:r w:rsidR="00EA479E">
        <w:rPr>
          <w:rFonts w:ascii="Garamond" w:hAnsi="Garamond" w:cs="Times New Roman"/>
          <w:sz w:val="24"/>
          <w:szCs w:val="24"/>
        </w:rPr>
        <w:t>‘</w:t>
      </w:r>
      <w:r w:rsidR="001136E7" w:rsidRPr="006544FD">
        <w:rPr>
          <w:rFonts w:ascii="Garamond" w:hAnsi="Garamond" w:cs="Times New Roman"/>
          <w:sz w:val="24"/>
          <w:szCs w:val="24"/>
        </w:rPr>
        <w:t>I</w:t>
      </w:r>
      <w:r w:rsidRPr="006544FD">
        <w:rPr>
          <w:rFonts w:ascii="Garamond" w:hAnsi="Garamond" w:cs="Times New Roman"/>
          <w:sz w:val="24"/>
          <w:szCs w:val="24"/>
        </w:rPr>
        <w:t>nforme</w:t>
      </w:r>
      <w:r w:rsidR="001136E7" w:rsidRPr="006544FD">
        <w:rPr>
          <w:rFonts w:ascii="Garamond" w:hAnsi="Garamond" w:cs="Times New Roman"/>
          <w:sz w:val="24"/>
          <w:szCs w:val="24"/>
        </w:rPr>
        <w:t xml:space="preserve"> 22 de septiembre de 2010 sobre Basilea II y la revisión de las Directivas relativas a los requisitos de capital</w:t>
      </w:r>
      <w:r w:rsidR="00EA479E">
        <w:rPr>
          <w:rFonts w:ascii="Garamond" w:hAnsi="Garamond" w:cs="Times New Roman"/>
          <w:sz w:val="24"/>
          <w:szCs w:val="24"/>
        </w:rPr>
        <w:t>’</w:t>
      </w:r>
      <w:r w:rsidR="001136E7" w:rsidRPr="006544FD">
        <w:rPr>
          <w:rFonts w:ascii="Garamond" w:hAnsi="Garamond" w:cs="Times New Roman"/>
          <w:sz w:val="24"/>
          <w:szCs w:val="24"/>
        </w:rPr>
        <w:t xml:space="preserve"> (DRC 4) (2010/2074(INI))</w:t>
      </w:r>
      <w:r w:rsidR="00EA479E">
        <w:rPr>
          <w:rFonts w:ascii="Garamond" w:hAnsi="Garamond" w:cs="Times New Roman"/>
          <w:sz w:val="24"/>
          <w:szCs w:val="24"/>
        </w:rPr>
        <w:t>,</w:t>
      </w:r>
      <w:r w:rsidR="00BB1D4A" w:rsidRPr="006544FD">
        <w:rPr>
          <w:rFonts w:ascii="Garamond" w:hAnsi="Garamond" w:cs="Times New Roman"/>
          <w:sz w:val="24"/>
          <w:szCs w:val="24"/>
        </w:rPr>
        <w:t xml:space="preserve"> Comisión de Asuntos Económicos y Monetarios.</w:t>
      </w:r>
    </w:p>
    <w:p w14:paraId="7B61D9A4" w14:textId="0A920789" w:rsidR="00BB1D4A" w:rsidRPr="006544FD" w:rsidRDefault="00BB1D4A" w:rsidP="00AC1B36">
      <w:pPr>
        <w:spacing w:before="240" w:line="300" w:lineRule="auto"/>
        <w:rPr>
          <w:rFonts w:ascii="Garamond" w:hAnsi="Garamond" w:cs="Times New Roman"/>
          <w:sz w:val="24"/>
          <w:szCs w:val="24"/>
        </w:rPr>
      </w:pPr>
      <w:r w:rsidRPr="006544FD">
        <w:rPr>
          <w:rFonts w:ascii="Garamond" w:hAnsi="Garamond" w:cs="Times New Roman"/>
          <w:sz w:val="24"/>
          <w:szCs w:val="24"/>
        </w:rPr>
        <w:t>Banco de España</w:t>
      </w:r>
      <w:r w:rsidR="00EA479E">
        <w:rPr>
          <w:rFonts w:ascii="Garamond" w:hAnsi="Garamond" w:cs="Times New Roman"/>
          <w:sz w:val="24"/>
          <w:szCs w:val="24"/>
        </w:rPr>
        <w:t xml:space="preserve">, </w:t>
      </w:r>
      <w:r w:rsidR="00E04C0B" w:rsidRPr="00EA479E">
        <w:rPr>
          <w:rFonts w:ascii="Garamond" w:hAnsi="Garamond" w:cs="Times New Roman"/>
          <w:i/>
          <w:sz w:val="24"/>
          <w:szCs w:val="24"/>
        </w:rPr>
        <w:t>Implantación y validación de enfoques avanzados de Basilea II en España</w:t>
      </w:r>
      <w:r w:rsidR="00EA479E">
        <w:rPr>
          <w:rFonts w:ascii="Garamond" w:hAnsi="Garamond" w:cs="Times New Roman"/>
          <w:sz w:val="24"/>
          <w:szCs w:val="24"/>
        </w:rPr>
        <w:t xml:space="preserve"> </w:t>
      </w:r>
      <w:r w:rsidR="00EA479E" w:rsidRPr="006544FD">
        <w:rPr>
          <w:rFonts w:ascii="Garamond" w:hAnsi="Garamond" w:cs="Times New Roman"/>
          <w:sz w:val="24"/>
          <w:szCs w:val="24"/>
        </w:rPr>
        <w:t>(2006)</w:t>
      </w:r>
      <w:r w:rsidR="00EA479E">
        <w:rPr>
          <w:rFonts w:ascii="Garamond" w:hAnsi="Garamond" w:cs="Times New Roman"/>
          <w:sz w:val="24"/>
          <w:szCs w:val="24"/>
        </w:rPr>
        <w:t>.</w:t>
      </w:r>
      <w:r w:rsidR="00E04C0B" w:rsidRPr="006544FD">
        <w:rPr>
          <w:rFonts w:ascii="Garamond" w:hAnsi="Garamond" w:cs="Times New Roman"/>
          <w:sz w:val="24"/>
          <w:szCs w:val="24"/>
        </w:rPr>
        <w:t xml:space="preserve"> </w:t>
      </w:r>
      <w:hyperlink r:id="rId11" w:history="1">
        <w:r w:rsidR="00E04C0B" w:rsidRPr="006544FD">
          <w:rPr>
            <w:rStyle w:val="Hipervnculo"/>
            <w:rFonts w:ascii="Garamond" w:hAnsi="Garamond" w:cs="Times New Roman"/>
            <w:sz w:val="24"/>
            <w:szCs w:val="24"/>
          </w:rPr>
          <w:t>https://www.bde.es/f/webbde/SPA/sispago/t2/modelos_t2/ficheros/es/Implantacion_y_validacion_de_enfoques_avanzados_de_Basilea.pdf</w:t>
        </w:r>
      </w:hyperlink>
    </w:p>
    <w:p w14:paraId="5C2BA1AA" w14:textId="03DA4A92" w:rsidR="00BB1D4A" w:rsidRPr="006544FD" w:rsidRDefault="00BB1D4A" w:rsidP="00AC1B36">
      <w:pPr>
        <w:spacing w:before="240" w:line="300" w:lineRule="auto"/>
        <w:rPr>
          <w:rFonts w:ascii="Garamond" w:hAnsi="Garamond" w:cs="Times New Roman"/>
          <w:sz w:val="24"/>
          <w:szCs w:val="24"/>
        </w:rPr>
      </w:pPr>
      <w:r w:rsidRPr="006544FD">
        <w:rPr>
          <w:rFonts w:ascii="Garamond" w:hAnsi="Garamond" w:cs="Times New Roman"/>
          <w:sz w:val="24"/>
          <w:szCs w:val="24"/>
        </w:rPr>
        <w:t>Comité de Supervisión Bancaria de Basilea</w:t>
      </w:r>
      <w:r w:rsidR="00EA479E">
        <w:rPr>
          <w:rFonts w:ascii="Garamond" w:hAnsi="Garamond" w:cs="Times New Roman"/>
          <w:sz w:val="24"/>
          <w:szCs w:val="24"/>
        </w:rPr>
        <w:t xml:space="preserve">, </w:t>
      </w:r>
      <w:r w:rsidRPr="00EA479E">
        <w:rPr>
          <w:rFonts w:ascii="Garamond" w:hAnsi="Garamond" w:cs="Times New Roman"/>
          <w:i/>
          <w:sz w:val="24"/>
          <w:szCs w:val="24"/>
        </w:rPr>
        <w:t>Convergencia internacional de medidas y normas de capital</w:t>
      </w:r>
      <w:r w:rsidR="00EA479E">
        <w:rPr>
          <w:rFonts w:ascii="Garamond" w:hAnsi="Garamond" w:cs="Times New Roman"/>
          <w:sz w:val="24"/>
          <w:szCs w:val="24"/>
        </w:rPr>
        <w:t>, (2006),</w:t>
      </w:r>
      <w:r w:rsidRPr="00EA479E">
        <w:rPr>
          <w:rFonts w:ascii="Garamond" w:hAnsi="Garamond" w:cs="Times New Roman"/>
          <w:i/>
          <w:sz w:val="24"/>
          <w:szCs w:val="24"/>
        </w:rPr>
        <w:t xml:space="preserve"> </w:t>
      </w:r>
      <w:r w:rsidRPr="00EA479E">
        <w:rPr>
          <w:rFonts w:ascii="Garamond" w:hAnsi="Garamond" w:cs="Times New Roman"/>
          <w:sz w:val="24"/>
          <w:szCs w:val="24"/>
        </w:rPr>
        <w:t>Banco de Pagos Internacional</w:t>
      </w:r>
      <w:r w:rsidR="00EA479E" w:rsidRPr="006544FD">
        <w:rPr>
          <w:rFonts w:ascii="Garamond" w:hAnsi="Garamond" w:cs="Times New Roman"/>
          <w:sz w:val="24"/>
          <w:szCs w:val="24"/>
        </w:rPr>
        <w:t>.</w:t>
      </w:r>
      <w:r w:rsidRPr="006544FD">
        <w:rPr>
          <w:rFonts w:ascii="Garamond" w:hAnsi="Garamond" w:cs="Times New Roman"/>
          <w:sz w:val="24"/>
          <w:szCs w:val="24"/>
        </w:rPr>
        <w:t xml:space="preserve"> </w:t>
      </w:r>
      <w:hyperlink r:id="rId12" w:history="1">
        <w:r w:rsidRPr="006544FD">
          <w:rPr>
            <w:rStyle w:val="Hipervnculo"/>
            <w:rFonts w:ascii="Garamond" w:hAnsi="Garamond" w:cs="Times New Roman"/>
            <w:sz w:val="24"/>
            <w:szCs w:val="24"/>
          </w:rPr>
          <w:t>https://www.bis.org/publ/bcbs128_es.pdf</w:t>
        </w:r>
      </w:hyperlink>
    </w:p>
    <w:p w14:paraId="2F08049D" w14:textId="235E86B2" w:rsidR="00963291" w:rsidRPr="006544FD" w:rsidRDefault="00433331" w:rsidP="00AC1B36">
      <w:pPr>
        <w:spacing w:before="240" w:line="300" w:lineRule="auto"/>
        <w:rPr>
          <w:rFonts w:ascii="Garamond" w:hAnsi="Garamond" w:cs="Times New Roman"/>
          <w:sz w:val="24"/>
          <w:szCs w:val="24"/>
        </w:rPr>
      </w:pPr>
      <w:r w:rsidRPr="006544FD">
        <w:rPr>
          <w:rFonts w:ascii="Garamond" w:hAnsi="Garamond" w:cs="Times New Roman"/>
          <w:sz w:val="24"/>
          <w:szCs w:val="24"/>
        </w:rPr>
        <w:t>Comité de Supervisión Bancaria de Basilea</w:t>
      </w:r>
      <w:r w:rsidR="00EA479E">
        <w:rPr>
          <w:rFonts w:ascii="Garamond" w:hAnsi="Garamond" w:cs="Times New Roman"/>
          <w:sz w:val="24"/>
          <w:szCs w:val="24"/>
        </w:rPr>
        <w:t>,</w:t>
      </w:r>
      <w:r w:rsidRPr="006544FD">
        <w:rPr>
          <w:rFonts w:ascii="Garamond" w:hAnsi="Garamond" w:cs="Times New Roman"/>
          <w:sz w:val="24"/>
          <w:szCs w:val="24"/>
        </w:rPr>
        <w:t xml:space="preserve"> Basilea III: Finalización de las reformas poscrisis</w:t>
      </w:r>
      <w:r w:rsidR="00EA479E">
        <w:rPr>
          <w:rFonts w:ascii="Garamond" w:hAnsi="Garamond" w:cs="Times New Roman"/>
          <w:sz w:val="24"/>
          <w:szCs w:val="24"/>
        </w:rPr>
        <w:t xml:space="preserve"> (2017,</w:t>
      </w:r>
      <w:r w:rsidRPr="006544FD">
        <w:rPr>
          <w:rFonts w:ascii="Garamond" w:hAnsi="Garamond" w:cs="Times New Roman"/>
          <w:sz w:val="24"/>
          <w:szCs w:val="24"/>
        </w:rPr>
        <w:t xml:space="preserve"> Banco de Pagos Internacional. </w:t>
      </w:r>
      <w:hyperlink r:id="rId13" w:history="1">
        <w:r w:rsidRPr="006544FD">
          <w:rPr>
            <w:rStyle w:val="Hipervnculo"/>
            <w:rFonts w:ascii="Garamond" w:hAnsi="Garamond" w:cs="Times New Roman"/>
            <w:sz w:val="24"/>
            <w:szCs w:val="24"/>
          </w:rPr>
          <w:t>https://www.bis.org/bcbs/publ/d424_es.pdf</w:t>
        </w:r>
      </w:hyperlink>
      <w:r w:rsidRPr="006544FD">
        <w:rPr>
          <w:rFonts w:ascii="Garamond" w:hAnsi="Garamond" w:cs="Times New Roman"/>
          <w:sz w:val="24"/>
          <w:szCs w:val="24"/>
        </w:rPr>
        <w:t xml:space="preserve"> </w:t>
      </w:r>
    </w:p>
    <w:p w14:paraId="6AA2F3C3" w14:textId="7782A114" w:rsidR="00433331" w:rsidRPr="006544FD" w:rsidRDefault="00433331" w:rsidP="00AC1B36">
      <w:pPr>
        <w:spacing w:before="240" w:line="300" w:lineRule="auto"/>
        <w:rPr>
          <w:rFonts w:ascii="Garamond" w:hAnsi="Garamond" w:cs="Times New Roman"/>
          <w:sz w:val="24"/>
          <w:szCs w:val="24"/>
        </w:rPr>
      </w:pPr>
      <w:proofErr w:type="spellStart"/>
      <w:r w:rsidRPr="006544FD">
        <w:rPr>
          <w:rFonts w:ascii="Garamond" w:hAnsi="Garamond" w:cs="Times New Roman"/>
          <w:sz w:val="24"/>
          <w:szCs w:val="24"/>
        </w:rPr>
        <w:t>PriceWaterHouseCoopers</w:t>
      </w:r>
      <w:proofErr w:type="spellEnd"/>
      <w:r w:rsidRPr="006544FD">
        <w:rPr>
          <w:rFonts w:ascii="Garamond" w:hAnsi="Garamond" w:cs="Times New Roman"/>
          <w:sz w:val="24"/>
          <w:szCs w:val="24"/>
        </w:rPr>
        <w:t xml:space="preserve">. Unión Bancaria, el precio de la estabilidad. </w:t>
      </w:r>
      <w:hyperlink r:id="rId14" w:history="1">
        <w:r w:rsidR="00712381" w:rsidRPr="006544FD">
          <w:rPr>
            <w:rStyle w:val="Hipervnculo"/>
            <w:rFonts w:ascii="Garamond" w:hAnsi="Garamond" w:cs="Times New Roman"/>
            <w:sz w:val="24"/>
            <w:szCs w:val="24"/>
          </w:rPr>
          <w:t>https://www.pwc.es/es/publicaciones/financiero-seguros/assets/informe-union-bancaria-2017.pdf</w:t>
        </w:r>
      </w:hyperlink>
    </w:p>
    <w:p w14:paraId="696A70B4" w14:textId="342CD8EA" w:rsidR="00712381" w:rsidRPr="006544FD" w:rsidRDefault="00712381" w:rsidP="00AC1B36">
      <w:pPr>
        <w:spacing w:before="240" w:line="300" w:lineRule="auto"/>
        <w:rPr>
          <w:rFonts w:ascii="Garamond" w:hAnsi="Garamond" w:cs="Times New Roman"/>
          <w:sz w:val="24"/>
          <w:szCs w:val="24"/>
        </w:rPr>
      </w:pPr>
      <w:r w:rsidRPr="006544FD">
        <w:rPr>
          <w:rFonts w:ascii="Garamond" w:hAnsi="Garamond" w:cs="Times New Roman"/>
          <w:sz w:val="24"/>
          <w:szCs w:val="24"/>
        </w:rPr>
        <w:t>Comisión Europea</w:t>
      </w:r>
      <w:r w:rsidR="00EA479E">
        <w:rPr>
          <w:rFonts w:ascii="Garamond" w:hAnsi="Garamond" w:cs="Times New Roman"/>
          <w:sz w:val="24"/>
          <w:szCs w:val="24"/>
        </w:rPr>
        <w:t>,</w:t>
      </w:r>
      <w:r w:rsidRPr="006544FD">
        <w:rPr>
          <w:rFonts w:ascii="Garamond" w:hAnsi="Garamond" w:cs="Times New Roman"/>
          <w:sz w:val="24"/>
          <w:szCs w:val="24"/>
        </w:rPr>
        <w:t xml:space="preserve"> </w:t>
      </w:r>
      <w:r w:rsidR="00EA479E">
        <w:rPr>
          <w:rFonts w:ascii="Garamond" w:hAnsi="Garamond" w:cs="Times New Roman"/>
          <w:sz w:val="24"/>
          <w:szCs w:val="24"/>
        </w:rPr>
        <w:t>‘</w:t>
      </w:r>
      <w:r w:rsidRPr="006544FD">
        <w:rPr>
          <w:rFonts w:ascii="Garamond" w:hAnsi="Garamond" w:cs="Times New Roman"/>
          <w:sz w:val="24"/>
          <w:szCs w:val="24"/>
        </w:rPr>
        <w:t>Comunicación de la Comisión al PE, al Consejo, Al BCE, sobre la culminación de la Unión Bancaria</w:t>
      </w:r>
      <w:r w:rsidR="00EA479E">
        <w:rPr>
          <w:rFonts w:ascii="Garamond" w:hAnsi="Garamond" w:cs="Times New Roman"/>
          <w:sz w:val="24"/>
          <w:szCs w:val="24"/>
        </w:rPr>
        <w:t>’</w:t>
      </w:r>
      <w:r w:rsidRPr="006544FD">
        <w:rPr>
          <w:rFonts w:ascii="Garamond" w:hAnsi="Garamond" w:cs="Times New Roman"/>
          <w:sz w:val="24"/>
          <w:szCs w:val="24"/>
        </w:rPr>
        <w:t xml:space="preserve"> </w:t>
      </w:r>
      <w:proofErr w:type="gramStart"/>
      <w:r w:rsidRPr="006544FD">
        <w:rPr>
          <w:rFonts w:ascii="Garamond" w:hAnsi="Garamond" w:cs="Times New Roman"/>
          <w:sz w:val="24"/>
          <w:szCs w:val="24"/>
        </w:rPr>
        <w:t>COM(</w:t>
      </w:r>
      <w:proofErr w:type="gramEnd"/>
      <w:r w:rsidRPr="006544FD">
        <w:rPr>
          <w:rFonts w:ascii="Garamond" w:hAnsi="Garamond" w:cs="Times New Roman"/>
          <w:sz w:val="24"/>
          <w:szCs w:val="24"/>
        </w:rPr>
        <w:t>2017) 592 final</w:t>
      </w:r>
      <w:r w:rsidR="00EA479E">
        <w:rPr>
          <w:rFonts w:ascii="Garamond" w:hAnsi="Garamond" w:cs="Times New Roman"/>
          <w:sz w:val="24"/>
          <w:szCs w:val="24"/>
        </w:rPr>
        <w:t xml:space="preserve">, </w:t>
      </w:r>
      <w:r w:rsidR="00EA479E" w:rsidRPr="006544FD">
        <w:rPr>
          <w:rFonts w:ascii="Garamond" w:hAnsi="Garamond" w:cs="Times New Roman"/>
          <w:sz w:val="24"/>
          <w:szCs w:val="24"/>
        </w:rPr>
        <w:t>(2017)</w:t>
      </w:r>
      <w:r w:rsidRPr="006544FD">
        <w:rPr>
          <w:rFonts w:ascii="Garamond" w:hAnsi="Garamond" w:cs="Times New Roman"/>
          <w:sz w:val="24"/>
          <w:szCs w:val="24"/>
        </w:rPr>
        <w:t xml:space="preserve">. </w:t>
      </w:r>
      <w:hyperlink r:id="rId15" w:history="1">
        <w:r w:rsidRPr="006544FD">
          <w:rPr>
            <w:rStyle w:val="Hipervnculo"/>
            <w:rFonts w:ascii="Garamond" w:hAnsi="Garamond" w:cs="Times New Roman"/>
            <w:sz w:val="24"/>
            <w:szCs w:val="24"/>
          </w:rPr>
          <w:t>http://ec.europa.eu/transparency/regdoc/rep/1/2017/ES/COM-2017-592-F1-ES-MAIN-PART-1.PDF</w:t>
        </w:r>
      </w:hyperlink>
    </w:p>
    <w:p w14:paraId="2B8880AE" w14:textId="7459830A" w:rsidR="00712381" w:rsidRPr="006544FD" w:rsidRDefault="00E04C0B" w:rsidP="00AC1B36">
      <w:pPr>
        <w:spacing w:before="240" w:line="300" w:lineRule="auto"/>
        <w:rPr>
          <w:rFonts w:ascii="Garamond" w:hAnsi="Garamond" w:cs="Times New Roman"/>
          <w:color w:val="000000"/>
          <w:sz w:val="24"/>
          <w:szCs w:val="24"/>
          <w:shd w:val="clear" w:color="auto" w:fill="FFFFFF"/>
        </w:rPr>
      </w:pPr>
      <w:r w:rsidRPr="006544FD">
        <w:rPr>
          <w:rFonts w:ascii="Garamond" w:hAnsi="Garamond" w:cs="Times New Roman"/>
          <w:color w:val="000000"/>
          <w:sz w:val="24"/>
          <w:szCs w:val="24"/>
          <w:shd w:val="clear" w:color="auto" w:fill="FFFFFF"/>
        </w:rPr>
        <w:t>Banco de España</w:t>
      </w:r>
      <w:r w:rsidR="00EA479E">
        <w:rPr>
          <w:rFonts w:ascii="Garamond" w:hAnsi="Garamond" w:cs="Times New Roman"/>
          <w:color w:val="000000"/>
          <w:sz w:val="24"/>
          <w:szCs w:val="24"/>
          <w:shd w:val="clear" w:color="auto" w:fill="FFFFFF"/>
        </w:rPr>
        <w:t>,</w:t>
      </w:r>
      <w:r w:rsidRPr="006544FD">
        <w:rPr>
          <w:rFonts w:ascii="Garamond" w:hAnsi="Garamond" w:cs="Times New Roman"/>
          <w:color w:val="000000"/>
          <w:sz w:val="24"/>
          <w:szCs w:val="24"/>
          <w:shd w:val="clear" w:color="auto" w:fill="FFFFFF"/>
        </w:rPr>
        <w:t> </w:t>
      </w:r>
      <w:r w:rsidRPr="006544FD">
        <w:rPr>
          <w:rFonts w:ascii="Garamond" w:hAnsi="Garamond" w:cs="Times New Roman"/>
          <w:i/>
          <w:iCs/>
          <w:color w:val="000000"/>
          <w:sz w:val="24"/>
          <w:szCs w:val="24"/>
          <w:shd w:val="clear" w:color="auto" w:fill="FFFFFF"/>
        </w:rPr>
        <w:t>Informe sobre la crisis financiera y bancaria en España</w:t>
      </w:r>
      <w:r w:rsidR="00EA479E">
        <w:rPr>
          <w:rFonts w:ascii="Garamond" w:hAnsi="Garamond" w:cs="Times New Roman"/>
          <w:color w:val="000000"/>
          <w:sz w:val="24"/>
          <w:szCs w:val="24"/>
          <w:shd w:val="clear" w:color="auto" w:fill="FFFFFF"/>
        </w:rPr>
        <w:t xml:space="preserve"> </w:t>
      </w:r>
      <w:r w:rsidR="00EA479E" w:rsidRPr="006544FD">
        <w:rPr>
          <w:rFonts w:ascii="Garamond" w:hAnsi="Garamond" w:cs="Times New Roman"/>
          <w:sz w:val="24"/>
          <w:szCs w:val="24"/>
        </w:rPr>
        <w:t>(2017)</w:t>
      </w:r>
      <w:r w:rsidR="00EA479E">
        <w:rPr>
          <w:rFonts w:ascii="Garamond" w:hAnsi="Garamond" w:cs="Times New Roman"/>
          <w:sz w:val="24"/>
          <w:szCs w:val="24"/>
        </w:rPr>
        <w:t>.</w:t>
      </w:r>
    </w:p>
    <w:p w14:paraId="4E11A54A" w14:textId="3AD31908" w:rsidR="009721EC" w:rsidRPr="004F1BDF" w:rsidRDefault="009721EC" w:rsidP="00AC1B36">
      <w:pPr>
        <w:spacing w:before="240" w:line="300" w:lineRule="auto"/>
        <w:rPr>
          <w:rFonts w:ascii="Garamond" w:hAnsi="Garamond" w:cs="Times New Roman"/>
          <w:sz w:val="24"/>
          <w:szCs w:val="24"/>
          <w:lang w:val="en-US"/>
        </w:rPr>
      </w:pPr>
      <w:r w:rsidRPr="004F1BDF">
        <w:rPr>
          <w:rFonts w:ascii="Garamond" w:hAnsi="Garamond" w:cs="Times New Roman"/>
          <w:sz w:val="24"/>
          <w:szCs w:val="24"/>
          <w:lang w:val="en-US"/>
        </w:rPr>
        <w:t>The High-Level Group on Financial Supervision on EU</w:t>
      </w:r>
      <w:r w:rsidR="00EA479E" w:rsidRPr="004F1BDF">
        <w:rPr>
          <w:rFonts w:ascii="Garamond" w:hAnsi="Garamond" w:cs="Times New Roman"/>
          <w:sz w:val="24"/>
          <w:szCs w:val="24"/>
          <w:lang w:val="en-US"/>
        </w:rPr>
        <w:t>,</w:t>
      </w:r>
      <w:r w:rsidRPr="004F1BDF">
        <w:rPr>
          <w:rFonts w:ascii="Garamond" w:hAnsi="Garamond" w:cs="Times New Roman"/>
          <w:sz w:val="24"/>
          <w:szCs w:val="24"/>
          <w:lang w:val="en-US"/>
        </w:rPr>
        <w:t xml:space="preserve"> </w:t>
      </w:r>
      <w:r w:rsidR="00EA479E" w:rsidRPr="004F1BDF">
        <w:rPr>
          <w:rFonts w:ascii="Garamond" w:hAnsi="Garamond" w:cs="Times New Roman"/>
          <w:sz w:val="24"/>
          <w:szCs w:val="24"/>
          <w:lang w:val="en-US"/>
        </w:rPr>
        <w:t>‘</w:t>
      </w:r>
      <w:r w:rsidRPr="004F1BDF">
        <w:rPr>
          <w:rFonts w:ascii="Garamond" w:hAnsi="Garamond" w:cs="Times New Roman"/>
          <w:sz w:val="24"/>
          <w:szCs w:val="24"/>
          <w:lang w:val="en-US"/>
        </w:rPr>
        <w:t xml:space="preserve">Report </w:t>
      </w:r>
      <w:proofErr w:type="spellStart"/>
      <w:r w:rsidRPr="004F1BDF">
        <w:rPr>
          <w:rFonts w:ascii="Garamond" w:hAnsi="Garamond" w:cs="Times New Roman"/>
          <w:sz w:val="24"/>
          <w:szCs w:val="24"/>
          <w:lang w:val="en-US"/>
        </w:rPr>
        <w:t>Larosière</w:t>
      </w:r>
      <w:proofErr w:type="spellEnd"/>
      <w:r w:rsidR="00EA479E" w:rsidRPr="004F1BDF">
        <w:rPr>
          <w:rFonts w:ascii="Garamond" w:hAnsi="Garamond" w:cs="Times New Roman"/>
          <w:sz w:val="24"/>
          <w:szCs w:val="24"/>
          <w:lang w:val="en-US"/>
        </w:rPr>
        <w:t xml:space="preserve">’ (2009), </w:t>
      </w:r>
      <w:r w:rsidRPr="004F1BDF">
        <w:rPr>
          <w:rFonts w:ascii="Garamond" w:hAnsi="Garamond" w:cs="Times New Roman"/>
          <w:sz w:val="24"/>
          <w:szCs w:val="24"/>
          <w:lang w:val="en-US"/>
        </w:rPr>
        <w:t>European Commission.</w:t>
      </w:r>
    </w:p>
    <w:p w14:paraId="1556775E" w14:textId="4F4FFFF0" w:rsidR="00963291" w:rsidRPr="004F1BDF" w:rsidRDefault="00963291" w:rsidP="00AC1B36">
      <w:pPr>
        <w:spacing w:before="240" w:line="300" w:lineRule="auto"/>
        <w:rPr>
          <w:rFonts w:ascii="Garamond" w:hAnsi="Garamond" w:cs="Times New Roman"/>
          <w:sz w:val="24"/>
          <w:szCs w:val="24"/>
          <w:lang w:val="en-US"/>
        </w:rPr>
      </w:pPr>
    </w:p>
    <w:sectPr w:rsidR="00963291" w:rsidRPr="004F1BDF" w:rsidSect="00B62A50">
      <w:headerReference w:type="default" r:id="rId16"/>
      <w:footerReference w:type="default" r:id="rId17"/>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9AAC3" w14:textId="77777777" w:rsidR="003608CA" w:rsidRDefault="003608CA" w:rsidP="006F2409">
      <w:pPr>
        <w:spacing w:after="0" w:line="240" w:lineRule="auto"/>
      </w:pPr>
      <w:r>
        <w:separator/>
      </w:r>
    </w:p>
  </w:endnote>
  <w:endnote w:type="continuationSeparator" w:id="0">
    <w:p w14:paraId="18FD0B07" w14:textId="77777777" w:rsidR="003608CA" w:rsidRDefault="003608CA" w:rsidP="006F2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1807647"/>
      <w:docPartObj>
        <w:docPartGallery w:val="Page Numbers (Bottom of Page)"/>
        <w:docPartUnique/>
      </w:docPartObj>
    </w:sdtPr>
    <w:sdtEndPr>
      <w:rPr>
        <w:rFonts w:ascii="Times New Roman" w:hAnsi="Times New Roman" w:cs="Times New Roman"/>
        <w:sz w:val="20"/>
      </w:rPr>
    </w:sdtEndPr>
    <w:sdtContent>
      <w:p w14:paraId="659A8CAF" w14:textId="18E006AA" w:rsidR="00CC492A" w:rsidRPr="00B62A50" w:rsidRDefault="00CC492A">
        <w:pPr>
          <w:pStyle w:val="Piedepgina"/>
          <w:jc w:val="right"/>
          <w:rPr>
            <w:rFonts w:ascii="Times New Roman" w:hAnsi="Times New Roman" w:cs="Times New Roman"/>
            <w:sz w:val="20"/>
          </w:rPr>
        </w:pPr>
        <w:r w:rsidRPr="00B62A50">
          <w:rPr>
            <w:rFonts w:ascii="Times New Roman" w:hAnsi="Times New Roman" w:cs="Times New Roman"/>
            <w:sz w:val="20"/>
          </w:rPr>
          <w:fldChar w:fldCharType="begin"/>
        </w:r>
        <w:r w:rsidRPr="00B62A50">
          <w:rPr>
            <w:rFonts w:ascii="Times New Roman" w:hAnsi="Times New Roman" w:cs="Times New Roman"/>
            <w:sz w:val="20"/>
          </w:rPr>
          <w:instrText>PAGE   \* MERGEFORMAT</w:instrText>
        </w:r>
        <w:r w:rsidRPr="00B62A50">
          <w:rPr>
            <w:rFonts w:ascii="Times New Roman" w:hAnsi="Times New Roman" w:cs="Times New Roman"/>
            <w:sz w:val="20"/>
          </w:rPr>
          <w:fldChar w:fldCharType="separate"/>
        </w:r>
        <w:r>
          <w:rPr>
            <w:rFonts w:ascii="Times New Roman" w:hAnsi="Times New Roman" w:cs="Times New Roman"/>
            <w:noProof/>
            <w:sz w:val="20"/>
          </w:rPr>
          <w:t>14</w:t>
        </w:r>
        <w:r w:rsidRPr="00B62A50">
          <w:rPr>
            <w:rFonts w:ascii="Times New Roman" w:hAnsi="Times New Roman" w:cs="Times New Roman"/>
            <w:sz w:val="20"/>
          </w:rPr>
          <w:fldChar w:fldCharType="end"/>
        </w:r>
      </w:p>
    </w:sdtContent>
  </w:sdt>
  <w:p w14:paraId="36429C9B" w14:textId="77777777" w:rsidR="00CC492A" w:rsidRDefault="00CC49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2E89B" w14:textId="77777777" w:rsidR="003608CA" w:rsidRDefault="003608CA" w:rsidP="006F2409">
      <w:pPr>
        <w:spacing w:after="0" w:line="240" w:lineRule="auto"/>
      </w:pPr>
      <w:r>
        <w:separator/>
      </w:r>
    </w:p>
  </w:footnote>
  <w:footnote w:type="continuationSeparator" w:id="0">
    <w:p w14:paraId="7F5BB99E" w14:textId="77777777" w:rsidR="003608CA" w:rsidRDefault="003608CA" w:rsidP="006F2409">
      <w:pPr>
        <w:spacing w:after="0" w:line="240" w:lineRule="auto"/>
      </w:pPr>
      <w:r>
        <w:continuationSeparator/>
      </w:r>
    </w:p>
  </w:footnote>
  <w:footnote w:id="1">
    <w:p w14:paraId="649B527C" w14:textId="25CAB5BF" w:rsidR="00CC492A" w:rsidRPr="004F1BDF" w:rsidRDefault="00CC492A" w:rsidP="00657259">
      <w:pPr>
        <w:pStyle w:val="Textonotapie"/>
        <w:rPr>
          <w:rFonts w:ascii="Garamond" w:hAnsi="Garamond"/>
          <w:lang w:val="en-US"/>
        </w:rPr>
      </w:pPr>
      <w:r w:rsidRPr="00A510FE">
        <w:rPr>
          <w:rStyle w:val="Refdenotaalpie"/>
          <w:rFonts w:ascii="Garamond" w:hAnsi="Garamond"/>
        </w:rPr>
        <w:footnoteRef/>
      </w:r>
      <w:r w:rsidRPr="004F1BDF">
        <w:rPr>
          <w:rFonts w:ascii="Garamond" w:hAnsi="Garamond"/>
          <w:lang w:val="en-US"/>
        </w:rPr>
        <w:t xml:space="preserve"> United States Congress, </w:t>
      </w:r>
      <w:r w:rsidRPr="004F1BDF">
        <w:rPr>
          <w:rFonts w:ascii="Garamond" w:hAnsi="Garamond"/>
          <w:i/>
          <w:lang w:val="en-US"/>
        </w:rPr>
        <w:t>Banking Act of 1933</w:t>
      </w:r>
      <w:r w:rsidRPr="004F1BDF">
        <w:rPr>
          <w:rFonts w:ascii="Garamond" w:hAnsi="Garamond"/>
          <w:lang w:val="en-US"/>
        </w:rPr>
        <w:t>, approved June 16, 1933, 73rd Congress of the United States.</w:t>
      </w:r>
    </w:p>
  </w:footnote>
  <w:footnote w:id="2">
    <w:p w14:paraId="27594CB5" w14:textId="15B6AB2A" w:rsidR="00CC492A" w:rsidRPr="00A444DC" w:rsidRDefault="00CC492A" w:rsidP="00A71A25">
      <w:pPr>
        <w:pStyle w:val="Textonotapie"/>
        <w:rPr>
          <w:rFonts w:ascii="Garamond" w:hAnsi="Garamond" w:cs="Times New Roman"/>
        </w:rPr>
      </w:pPr>
      <w:r w:rsidRPr="00A444DC">
        <w:rPr>
          <w:rStyle w:val="Refdenotaalpie"/>
          <w:rFonts w:ascii="Garamond" w:hAnsi="Garamond" w:cs="Times New Roman"/>
        </w:rPr>
        <w:footnoteRef/>
      </w:r>
      <w:r w:rsidRPr="00A444DC">
        <w:rPr>
          <w:rFonts w:ascii="Garamond" w:hAnsi="Garamond" w:cs="Times New Roman"/>
        </w:rPr>
        <w:t xml:space="preserve"> La Conferencia de Bretton Woods tuvo lugar en Estados Unidos, en 1994, en la cual se firmó el </w:t>
      </w:r>
      <w:bookmarkStart w:id="1" w:name="_Hlk12032206"/>
      <w:proofErr w:type="spellStart"/>
      <w:r w:rsidRPr="00A444DC">
        <w:rPr>
          <w:rFonts w:ascii="Garamond" w:hAnsi="Garamond" w:cs="Times New Roman"/>
          <w:i/>
        </w:rPr>
        <w:t>Generalized</w:t>
      </w:r>
      <w:proofErr w:type="spellEnd"/>
      <w:r w:rsidRPr="00A444DC">
        <w:rPr>
          <w:rFonts w:ascii="Garamond" w:hAnsi="Garamond" w:cs="Times New Roman"/>
          <w:i/>
        </w:rPr>
        <w:t xml:space="preserve"> </w:t>
      </w:r>
      <w:proofErr w:type="spellStart"/>
      <w:r w:rsidRPr="00A444DC">
        <w:rPr>
          <w:rFonts w:ascii="Garamond" w:hAnsi="Garamond" w:cs="Times New Roman"/>
          <w:i/>
        </w:rPr>
        <w:t>Agreement</w:t>
      </w:r>
      <w:proofErr w:type="spellEnd"/>
      <w:r w:rsidRPr="00A444DC">
        <w:rPr>
          <w:rFonts w:ascii="Garamond" w:hAnsi="Garamond" w:cs="Times New Roman"/>
          <w:i/>
        </w:rPr>
        <w:t xml:space="preserve"> </w:t>
      </w:r>
      <w:proofErr w:type="spellStart"/>
      <w:r w:rsidRPr="00A444DC">
        <w:rPr>
          <w:rFonts w:ascii="Garamond" w:hAnsi="Garamond" w:cs="Times New Roman"/>
          <w:i/>
        </w:rPr>
        <w:t>on</w:t>
      </w:r>
      <w:proofErr w:type="spellEnd"/>
      <w:r w:rsidRPr="00A444DC">
        <w:rPr>
          <w:rFonts w:ascii="Garamond" w:hAnsi="Garamond" w:cs="Times New Roman"/>
          <w:i/>
        </w:rPr>
        <w:t xml:space="preserve"> </w:t>
      </w:r>
      <w:proofErr w:type="spellStart"/>
      <w:r w:rsidRPr="00A444DC">
        <w:rPr>
          <w:rFonts w:ascii="Garamond" w:hAnsi="Garamond" w:cs="Times New Roman"/>
          <w:i/>
        </w:rPr>
        <w:t>Trade</w:t>
      </w:r>
      <w:proofErr w:type="spellEnd"/>
      <w:r w:rsidRPr="00A444DC">
        <w:rPr>
          <w:rFonts w:ascii="Garamond" w:hAnsi="Garamond" w:cs="Times New Roman"/>
          <w:i/>
        </w:rPr>
        <w:t xml:space="preserve"> and </w:t>
      </w:r>
      <w:proofErr w:type="spellStart"/>
      <w:r w:rsidRPr="00A444DC">
        <w:rPr>
          <w:rFonts w:ascii="Garamond" w:hAnsi="Garamond" w:cs="Times New Roman"/>
          <w:i/>
        </w:rPr>
        <w:t>Tariffs</w:t>
      </w:r>
      <w:proofErr w:type="spellEnd"/>
      <w:r w:rsidRPr="00A444DC">
        <w:rPr>
          <w:rFonts w:ascii="Garamond" w:hAnsi="Garamond" w:cs="Times New Roman"/>
          <w:i/>
        </w:rPr>
        <w:t xml:space="preserve"> </w:t>
      </w:r>
      <w:bookmarkEnd w:id="1"/>
      <w:r w:rsidRPr="00A444DC">
        <w:rPr>
          <w:rFonts w:ascii="Garamond" w:hAnsi="Garamond" w:cs="Times New Roman"/>
        </w:rPr>
        <w:t>(GATT).</w:t>
      </w:r>
      <w:r>
        <w:rPr>
          <w:rFonts w:ascii="Garamond" w:hAnsi="Garamond" w:cs="Times New Roman"/>
        </w:rPr>
        <w:t xml:space="preserve"> En 1995, el GATT sería sustituido por la hoy conocida Organización Mundial del Comercio.</w:t>
      </w:r>
    </w:p>
  </w:footnote>
  <w:footnote w:id="3">
    <w:p w14:paraId="57778F5D" w14:textId="2ECFA53B" w:rsidR="00CC492A" w:rsidRPr="009B100B" w:rsidRDefault="00CC492A">
      <w:pPr>
        <w:pStyle w:val="Textonotapie"/>
        <w:rPr>
          <w:rFonts w:ascii="Garamond" w:hAnsi="Garamond"/>
        </w:rPr>
      </w:pPr>
      <w:r w:rsidRPr="009B100B">
        <w:rPr>
          <w:rStyle w:val="Refdenotaalpie"/>
          <w:rFonts w:ascii="Garamond" w:hAnsi="Garamond"/>
        </w:rPr>
        <w:footnoteRef/>
      </w:r>
      <w:r w:rsidRPr="009B100B">
        <w:rPr>
          <w:rFonts w:ascii="Garamond" w:hAnsi="Garamond"/>
        </w:rPr>
        <w:t xml:space="preserve"> Los países asistentes fueron: Au</w:t>
      </w:r>
      <w:r>
        <w:rPr>
          <w:rFonts w:ascii="Garamond" w:hAnsi="Garamond"/>
        </w:rPr>
        <w:t>s</w:t>
      </w:r>
      <w:r w:rsidRPr="009B100B">
        <w:rPr>
          <w:rFonts w:ascii="Garamond" w:hAnsi="Garamond"/>
        </w:rPr>
        <w:t>tralia, Bélgica, Bolivia, Brasil, Canadá, Chile, China, Colombia, Costa Rica, Cuba, Checoslovaquia, República Dominicana, Ecuador, Egipto, El Salvador, Etiopía, Francia, Grecia, Guatemala, Haití, Honduras, Islandia, India, Irán, Iraq, Liberia, Luxemburgo, México, Países Bajos, Nueva Zelanda, Nicaragua, Noruega, Panamá, Paraguay, Perú, Filipinas, Polonia, Sudáfrica, Unión de Repúblicas Socialistas Soviéticas, Reino Unido, Estados Unidos de América, Uruguay, Venezuela y Yugoslavia.</w:t>
      </w:r>
    </w:p>
  </w:footnote>
  <w:footnote w:id="4">
    <w:p w14:paraId="3A388E37" w14:textId="27CE14FF" w:rsidR="00CC492A" w:rsidRPr="00AC1B36" w:rsidRDefault="00CC492A">
      <w:pPr>
        <w:pStyle w:val="Textonotapie"/>
        <w:rPr>
          <w:rFonts w:ascii="Garamond" w:hAnsi="Garamond"/>
        </w:rPr>
      </w:pPr>
      <w:r w:rsidRPr="00AC1B36">
        <w:rPr>
          <w:rStyle w:val="Refdenotaalpie"/>
          <w:rFonts w:ascii="Garamond" w:hAnsi="Garamond"/>
        </w:rPr>
        <w:footnoteRef/>
      </w:r>
      <w:r w:rsidRPr="00AC1B36">
        <w:rPr>
          <w:rFonts w:ascii="Garamond" w:hAnsi="Garamond"/>
        </w:rPr>
        <w:t xml:space="preserve"> Banco de España</w:t>
      </w:r>
      <w:r>
        <w:rPr>
          <w:rFonts w:ascii="Garamond" w:hAnsi="Garamond"/>
        </w:rPr>
        <w:t>,</w:t>
      </w:r>
      <w:r w:rsidRPr="00AC1B36">
        <w:rPr>
          <w:rFonts w:ascii="Garamond" w:hAnsi="Garamond"/>
        </w:rPr>
        <w:t xml:space="preserve"> </w:t>
      </w:r>
      <w:r w:rsidRPr="00AC1B36">
        <w:rPr>
          <w:rFonts w:ascii="Garamond" w:hAnsi="Garamond"/>
          <w:i/>
        </w:rPr>
        <w:t>Informe sobre la crisis financiera y bancaria en España 2008-2014</w:t>
      </w:r>
      <w:r w:rsidRPr="00AC1B36">
        <w:rPr>
          <w:rFonts w:ascii="Garamond" w:hAnsi="Garamond"/>
        </w:rPr>
        <w:t xml:space="preserve"> (p. 51)</w:t>
      </w:r>
      <w:r>
        <w:rPr>
          <w:rFonts w:ascii="Garamond" w:hAnsi="Garamond"/>
        </w:rPr>
        <w:t>, (2017)</w:t>
      </w:r>
      <w:r w:rsidRPr="00AC1B36">
        <w:rPr>
          <w:rFonts w:ascii="Garamond" w:hAnsi="Garamond"/>
        </w:rPr>
        <w:t>.</w:t>
      </w:r>
    </w:p>
  </w:footnote>
  <w:footnote w:id="5">
    <w:p w14:paraId="0131ACCC" w14:textId="42014054" w:rsidR="00CC492A" w:rsidRPr="007E4683" w:rsidRDefault="00CC492A">
      <w:pPr>
        <w:pStyle w:val="Textonotapie"/>
        <w:rPr>
          <w:rFonts w:ascii="Garamond" w:hAnsi="Garamond"/>
        </w:rPr>
      </w:pPr>
      <w:r w:rsidRPr="007E4683">
        <w:rPr>
          <w:rStyle w:val="Refdenotaalpie"/>
          <w:rFonts w:ascii="Garamond" w:hAnsi="Garamond"/>
        </w:rPr>
        <w:footnoteRef/>
      </w:r>
      <w:r w:rsidRPr="007E4683">
        <w:rPr>
          <w:rFonts w:ascii="Garamond" w:hAnsi="Garamond"/>
        </w:rPr>
        <w:t xml:space="preserve"> Ley 13/1992, de 1 de junio, de Recursos propios y supervisión en base consolidada de las Entidades Financieras (BOE núm. 132, de 2 de junio de 1992).</w:t>
      </w:r>
    </w:p>
  </w:footnote>
  <w:footnote w:id="6">
    <w:p w14:paraId="4803F969" w14:textId="73E26BE8" w:rsidR="00CC492A" w:rsidRDefault="00CC492A">
      <w:pPr>
        <w:pStyle w:val="Textonotapie"/>
      </w:pPr>
      <w:r w:rsidRPr="007E4683">
        <w:rPr>
          <w:rStyle w:val="Refdenotaalpie"/>
          <w:rFonts w:ascii="Garamond" w:hAnsi="Garamond"/>
        </w:rPr>
        <w:footnoteRef/>
      </w:r>
      <w:r w:rsidRPr="007E4683">
        <w:rPr>
          <w:rFonts w:ascii="Garamond" w:hAnsi="Garamond"/>
        </w:rPr>
        <w:t xml:space="preserve"> Circular 5/1993, de 26 de marzo, a Entidades de crédito, sobre determinación y control de los recursos propios mínimos (BOE núm. 84, de 8 de abril de 1993).</w:t>
      </w:r>
    </w:p>
  </w:footnote>
  <w:footnote w:id="7">
    <w:p w14:paraId="1622EF27" w14:textId="36B25F2D" w:rsidR="00CC492A" w:rsidRPr="00D27FF7" w:rsidRDefault="00CC492A">
      <w:pPr>
        <w:pStyle w:val="Textonotapie"/>
        <w:rPr>
          <w:rFonts w:ascii="Garamond" w:hAnsi="Garamond"/>
        </w:rPr>
      </w:pPr>
      <w:r w:rsidRPr="00D27FF7">
        <w:rPr>
          <w:rStyle w:val="Refdenotaalpie"/>
          <w:rFonts w:ascii="Garamond" w:hAnsi="Garamond"/>
        </w:rPr>
        <w:footnoteRef/>
      </w:r>
      <w:r w:rsidRPr="00D27FF7">
        <w:rPr>
          <w:rFonts w:ascii="Garamond" w:hAnsi="Garamond"/>
        </w:rPr>
        <w:t xml:space="preserve"> Ley 26/1988, de 29 de julio, sobre Disciplina e Intervención de las Entidades de Crédito (BOE» núm. 182, de 30 de julio de 1988).</w:t>
      </w:r>
    </w:p>
  </w:footnote>
  <w:footnote w:id="8">
    <w:p w14:paraId="2836F0FE" w14:textId="4B09BB07" w:rsidR="00CC492A" w:rsidRPr="00D27FF7" w:rsidRDefault="00CC492A">
      <w:pPr>
        <w:pStyle w:val="Textonotapie"/>
        <w:rPr>
          <w:rFonts w:ascii="Garamond" w:hAnsi="Garamond"/>
        </w:rPr>
      </w:pPr>
      <w:r w:rsidRPr="00D27FF7">
        <w:rPr>
          <w:rStyle w:val="Refdenotaalpie"/>
          <w:rFonts w:ascii="Garamond" w:hAnsi="Garamond"/>
        </w:rPr>
        <w:footnoteRef/>
      </w:r>
      <w:r w:rsidRPr="00D27FF7">
        <w:rPr>
          <w:rFonts w:ascii="Garamond" w:hAnsi="Garamond"/>
        </w:rPr>
        <w:t xml:space="preserve"> Circular 3/2008, de 22 de mayo, del Banco de España, a entidades de crédito, sobre determinación y control de los recursos propios mínimos (BOE núm. 140, de 10 de junio de 2008).</w:t>
      </w:r>
    </w:p>
  </w:footnote>
  <w:footnote w:id="9">
    <w:p w14:paraId="4801B8D9" w14:textId="233F7017" w:rsidR="00CC492A" w:rsidRPr="001313BB" w:rsidRDefault="00CC492A">
      <w:pPr>
        <w:pStyle w:val="Textonotapie"/>
        <w:rPr>
          <w:rFonts w:ascii="Garamond" w:hAnsi="Garamond"/>
        </w:rPr>
      </w:pPr>
      <w:r w:rsidRPr="001313BB">
        <w:rPr>
          <w:rStyle w:val="Refdenotaalpie"/>
          <w:rFonts w:ascii="Garamond" w:hAnsi="Garamond"/>
        </w:rPr>
        <w:footnoteRef/>
      </w:r>
      <w:r w:rsidRPr="001313BB">
        <w:rPr>
          <w:rFonts w:ascii="Garamond" w:hAnsi="Garamond"/>
        </w:rPr>
        <w:t xml:space="preserve"> Comité de Supervisión Bancaria de Basilea</w:t>
      </w:r>
      <w:r>
        <w:rPr>
          <w:rFonts w:ascii="Garamond" w:hAnsi="Garamond"/>
        </w:rPr>
        <w:t>,</w:t>
      </w:r>
      <w:r w:rsidRPr="001313BB">
        <w:rPr>
          <w:rFonts w:ascii="Garamond" w:hAnsi="Garamond"/>
        </w:rPr>
        <w:t xml:space="preserve"> </w:t>
      </w:r>
      <w:r w:rsidRPr="00EA479E">
        <w:rPr>
          <w:rFonts w:ascii="Garamond" w:hAnsi="Garamond"/>
          <w:i/>
        </w:rPr>
        <w:t>Convergencia internacional de medidas y normas de capital</w:t>
      </w:r>
      <w:r w:rsidRPr="001313BB">
        <w:rPr>
          <w:rFonts w:ascii="Garamond" w:hAnsi="Garamond"/>
        </w:rPr>
        <w:t xml:space="preserve"> (2006), p. 159</w:t>
      </w:r>
      <w:r>
        <w:rPr>
          <w:rFonts w:ascii="Garamond" w:hAnsi="Garamond"/>
        </w:rPr>
        <w:t>,</w:t>
      </w:r>
      <w:r w:rsidRPr="001313BB">
        <w:rPr>
          <w:rFonts w:ascii="Garamond" w:hAnsi="Garamond"/>
        </w:rPr>
        <w:t xml:space="preserve"> Banco Internacional de Pagos. </w:t>
      </w:r>
    </w:p>
  </w:footnote>
  <w:footnote w:id="10">
    <w:p w14:paraId="59AB0485" w14:textId="4EB1A2B4" w:rsidR="00CC492A" w:rsidRPr="000852F5" w:rsidRDefault="00CC492A">
      <w:pPr>
        <w:pStyle w:val="Textonotapie"/>
        <w:rPr>
          <w:rFonts w:ascii="Garamond" w:hAnsi="Garamond" w:cs="Times New Roman"/>
        </w:rPr>
      </w:pPr>
      <w:r w:rsidRPr="000852F5">
        <w:rPr>
          <w:rStyle w:val="Refdenotaalpie"/>
          <w:rFonts w:ascii="Garamond" w:hAnsi="Garamond" w:cs="Times New Roman"/>
        </w:rPr>
        <w:footnoteRef/>
      </w:r>
      <w:r w:rsidRPr="000852F5">
        <w:rPr>
          <w:rFonts w:ascii="Garamond" w:hAnsi="Garamond" w:cs="Times New Roman"/>
        </w:rPr>
        <w:t xml:space="preserve"> Comité de Supervisión Bancaria de Basilea</w:t>
      </w:r>
      <w:r>
        <w:rPr>
          <w:rFonts w:ascii="Garamond" w:hAnsi="Garamond" w:cs="Times New Roman"/>
        </w:rPr>
        <w:t>,</w:t>
      </w:r>
      <w:r w:rsidRPr="000852F5">
        <w:rPr>
          <w:rFonts w:ascii="Garamond" w:hAnsi="Garamond" w:cs="Times New Roman"/>
        </w:rPr>
        <w:t xml:space="preserve"> </w:t>
      </w:r>
      <w:r w:rsidRPr="00EA479E">
        <w:rPr>
          <w:rFonts w:ascii="Garamond" w:hAnsi="Garamond" w:cs="Times New Roman"/>
          <w:i/>
        </w:rPr>
        <w:t xml:space="preserve">Aplicación de Basilea II: aspectos prácticos </w:t>
      </w:r>
      <w:r w:rsidRPr="000852F5">
        <w:rPr>
          <w:rFonts w:ascii="Garamond" w:hAnsi="Garamond" w:cs="Times New Roman"/>
        </w:rPr>
        <w:t>(p. 8)</w:t>
      </w:r>
      <w:r>
        <w:rPr>
          <w:rFonts w:ascii="Garamond" w:hAnsi="Garamond" w:cs="Times New Roman"/>
        </w:rPr>
        <w:t xml:space="preserve"> (2004), </w:t>
      </w:r>
      <w:r w:rsidRPr="000852F5">
        <w:rPr>
          <w:rFonts w:ascii="Garamond" w:hAnsi="Garamond" w:cs="Times New Roman"/>
        </w:rPr>
        <w:t>Banco de Pagos Internacionales.</w:t>
      </w:r>
    </w:p>
  </w:footnote>
  <w:footnote w:id="11">
    <w:p w14:paraId="0FB4788F" w14:textId="777AA116" w:rsidR="00CC492A" w:rsidRPr="004F1BDF" w:rsidRDefault="00CC492A">
      <w:pPr>
        <w:pStyle w:val="Textonotapie"/>
        <w:rPr>
          <w:lang w:val="en-US"/>
        </w:rPr>
      </w:pPr>
      <w:r w:rsidRPr="000852F5">
        <w:rPr>
          <w:rStyle w:val="Refdenotaalpie"/>
          <w:rFonts w:ascii="Garamond" w:hAnsi="Garamond" w:cs="Times New Roman"/>
        </w:rPr>
        <w:footnoteRef/>
      </w:r>
      <w:r w:rsidRPr="004F1BDF">
        <w:rPr>
          <w:rFonts w:ascii="Garamond" w:hAnsi="Garamond" w:cs="Times New Roman"/>
          <w:lang w:val="en-US"/>
        </w:rPr>
        <w:t xml:space="preserve"> </w:t>
      </w:r>
      <w:proofErr w:type="spellStart"/>
      <w:r w:rsidRPr="004F1BDF">
        <w:rPr>
          <w:rFonts w:ascii="Garamond" w:hAnsi="Garamond" w:cs="Times New Roman"/>
          <w:lang w:val="en-US"/>
        </w:rPr>
        <w:t>Lamfalussy</w:t>
      </w:r>
      <w:proofErr w:type="spellEnd"/>
      <w:r w:rsidRPr="004F1BDF">
        <w:rPr>
          <w:rFonts w:ascii="Garamond" w:hAnsi="Garamond" w:cs="Times New Roman"/>
          <w:lang w:val="en-US"/>
        </w:rPr>
        <w:t xml:space="preserve">, A., </w:t>
      </w:r>
      <w:r w:rsidRPr="004F1BDF">
        <w:rPr>
          <w:rFonts w:ascii="Garamond" w:hAnsi="Garamond" w:cs="Times New Roman"/>
          <w:i/>
          <w:lang w:val="en-US"/>
        </w:rPr>
        <w:t xml:space="preserve">Final Report of the Committee of Wise men on the regulation of </w:t>
      </w:r>
      <w:proofErr w:type="spellStart"/>
      <w:r w:rsidRPr="004F1BDF">
        <w:rPr>
          <w:rFonts w:ascii="Garamond" w:hAnsi="Garamond" w:cs="Times New Roman"/>
          <w:i/>
          <w:lang w:val="en-US"/>
        </w:rPr>
        <w:t>european</w:t>
      </w:r>
      <w:proofErr w:type="spellEnd"/>
      <w:r w:rsidRPr="004F1BDF">
        <w:rPr>
          <w:rFonts w:ascii="Garamond" w:hAnsi="Garamond" w:cs="Times New Roman"/>
          <w:i/>
          <w:lang w:val="en-US"/>
        </w:rPr>
        <w:t xml:space="preserve"> securities markets</w:t>
      </w:r>
      <w:r w:rsidRPr="004F1BDF">
        <w:rPr>
          <w:rFonts w:ascii="Garamond" w:hAnsi="Garamond" w:cs="Times New Roman"/>
          <w:lang w:val="en-US"/>
        </w:rPr>
        <w:t xml:space="preserve"> (2001), ECOFIN.</w:t>
      </w:r>
    </w:p>
  </w:footnote>
  <w:footnote w:id="12">
    <w:p w14:paraId="6F222BFD" w14:textId="379FD8D6" w:rsidR="00CC492A" w:rsidRPr="004F1BDF" w:rsidRDefault="00CC492A">
      <w:pPr>
        <w:pStyle w:val="Textonotapie"/>
        <w:rPr>
          <w:rFonts w:ascii="Garamond" w:hAnsi="Garamond" w:cs="Times New Roman"/>
          <w:lang w:val="en-US"/>
        </w:rPr>
      </w:pPr>
      <w:r w:rsidRPr="00AC1B36">
        <w:rPr>
          <w:rStyle w:val="Refdenotaalpie"/>
          <w:rFonts w:ascii="Garamond" w:hAnsi="Garamond" w:cs="Times New Roman"/>
        </w:rPr>
        <w:footnoteRef/>
      </w:r>
      <w:r w:rsidRPr="00AC1B36">
        <w:rPr>
          <w:rFonts w:ascii="Garamond" w:hAnsi="Garamond" w:cs="Times New Roman"/>
        </w:rPr>
        <w:t xml:space="preserve"> Según la proyección que hizo el Banco de España a finales de 2018 para el 2019 de las Entidades de Importancia Sistémica. </w:t>
      </w:r>
      <w:r w:rsidRPr="004F1BDF">
        <w:rPr>
          <w:rFonts w:ascii="Garamond" w:hAnsi="Garamond" w:cs="Times New Roman"/>
          <w:lang w:val="en-US"/>
        </w:rPr>
        <w:t xml:space="preserve">Link: </w:t>
      </w:r>
      <w:hyperlink r:id="rId1" w:history="1">
        <w:r w:rsidRPr="004F1BDF">
          <w:rPr>
            <w:rStyle w:val="Hipervnculo"/>
            <w:rFonts w:ascii="Garamond" w:hAnsi="Garamond" w:cs="Times New Roman"/>
            <w:lang w:val="en-US"/>
          </w:rPr>
          <w:t>https://www.bde.es/f/webbde/GAP/Secciones/SalaPrensa/NotasInformativas/18/presbe2018_63.pdf</w:t>
        </w:r>
      </w:hyperlink>
      <w:r w:rsidRPr="004F1BDF">
        <w:rPr>
          <w:rFonts w:ascii="Garamond" w:hAnsi="Garamond" w:cs="Times New Roman"/>
          <w:lang w:val="en-US"/>
        </w:rPr>
        <w:t xml:space="preserve"> </w:t>
      </w:r>
    </w:p>
  </w:footnote>
  <w:footnote w:id="13">
    <w:p w14:paraId="14AFA418" w14:textId="6A02BC68" w:rsidR="00CC492A" w:rsidRPr="00AC1B36" w:rsidRDefault="00CC492A" w:rsidP="00D85156">
      <w:pPr>
        <w:pStyle w:val="Textonotapie"/>
        <w:rPr>
          <w:rFonts w:ascii="Garamond" w:hAnsi="Garamond" w:cs="Times New Roman"/>
        </w:rPr>
      </w:pPr>
      <w:r w:rsidRPr="00AC1B36">
        <w:rPr>
          <w:rStyle w:val="Refdenotaalpie"/>
          <w:rFonts w:ascii="Garamond" w:hAnsi="Garamond" w:cs="Times New Roman"/>
        </w:rPr>
        <w:footnoteRef/>
      </w:r>
      <w:r w:rsidRPr="00AC1B36">
        <w:rPr>
          <w:rFonts w:ascii="Garamond" w:hAnsi="Garamond" w:cs="Times New Roman"/>
        </w:rPr>
        <w:t xml:space="preserve"> Reglamento (UE) 1092/2010 del Parlamento Europeo y del Consejo de </w:t>
      </w:r>
      <w:proofErr w:type="gramStart"/>
      <w:r w:rsidRPr="00AC1B36">
        <w:rPr>
          <w:rFonts w:ascii="Garamond" w:hAnsi="Garamond" w:cs="Times New Roman"/>
        </w:rPr>
        <w:t>24  de</w:t>
      </w:r>
      <w:proofErr w:type="gramEnd"/>
      <w:r w:rsidRPr="00AC1B36">
        <w:rPr>
          <w:rFonts w:ascii="Garamond" w:hAnsi="Garamond" w:cs="Times New Roman"/>
        </w:rPr>
        <w:t xml:space="preserve">  noviembre de 2010 relativo a la supervisión </w:t>
      </w:r>
      <w:proofErr w:type="spellStart"/>
      <w:r w:rsidRPr="00AC1B36">
        <w:rPr>
          <w:rFonts w:ascii="Garamond" w:hAnsi="Garamond" w:cs="Times New Roman"/>
        </w:rPr>
        <w:t>macroprudencial</w:t>
      </w:r>
      <w:proofErr w:type="spellEnd"/>
      <w:r w:rsidRPr="00AC1B36">
        <w:rPr>
          <w:rFonts w:ascii="Garamond" w:hAnsi="Garamond" w:cs="Times New Roman"/>
        </w:rPr>
        <w:t xml:space="preserve"> del sistema financiero en la Unión Europea y por el que se crea una Junta Europea de Riesgo Sistémico</w:t>
      </w:r>
      <w:r>
        <w:rPr>
          <w:rFonts w:ascii="Garamond" w:hAnsi="Garamond" w:cs="Times New Roman"/>
        </w:rPr>
        <w:t xml:space="preserve"> (</w:t>
      </w:r>
      <w:r w:rsidRPr="003E3487">
        <w:rPr>
          <w:rFonts w:ascii="Garamond" w:hAnsi="Garamond" w:cs="Times New Roman"/>
        </w:rPr>
        <w:t>DOUE núm. 331, de 15 de diciembre de 2010</w:t>
      </w:r>
      <w:r>
        <w:rPr>
          <w:rFonts w:ascii="Garamond" w:hAnsi="Garamond" w:cs="Times New Roman"/>
        </w:rPr>
        <w:t>).</w:t>
      </w:r>
    </w:p>
  </w:footnote>
  <w:footnote w:id="14">
    <w:p w14:paraId="2232451B" w14:textId="4474CBDA" w:rsidR="00CC492A" w:rsidRPr="00D85156" w:rsidRDefault="00CC492A">
      <w:pPr>
        <w:pStyle w:val="Textonotapie"/>
        <w:rPr>
          <w:rFonts w:ascii="Times New Roman" w:hAnsi="Times New Roman" w:cs="Times New Roman"/>
        </w:rPr>
      </w:pPr>
      <w:r w:rsidRPr="00AC1B36">
        <w:rPr>
          <w:rStyle w:val="Refdenotaalpie"/>
          <w:rFonts w:ascii="Garamond" w:hAnsi="Garamond" w:cs="Times New Roman"/>
        </w:rPr>
        <w:footnoteRef/>
      </w:r>
      <w:r w:rsidRPr="00AC1B36">
        <w:rPr>
          <w:rFonts w:ascii="Garamond" w:hAnsi="Garamond" w:cs="Times New Roman"/>
        </w:rPr>
        <w:t xml:space="preserve"> Artículo 3, Reglamento (UE) 1092/2010, de 24 de noviembre de 2010</w:t>
      </w:r>
      <w:r>
        <w:rPr>
          <w:rFonts w:ascii="Garamond" w:hAnsi="Garamond" w:cs="Times New Roman"/>
        </w:rPr>
        <w:t xml:space="preserve"> (</w:t>
      </w:r>
      <w:r w:rsidRPr="003E3487">
        <w:rPr>
          <w:rFonts w:ascii="Garamond" w:hAnsi="Garamond" w:cs="Times New Roman"/>
        </w:rPr>
        <w:t>DOUE núm. 331, de 15 de diciembre de 2010</w:t>
      </w:r>
      <w:r>
        <w:rPr>
          <w:rFonts w:ascii="Garamond" w:hAnsi="Garamond" w:cs="Times New Roman"/>
        </w:rPr>
        <w:t>).</w:t>
      </w:r>
    </w:p>
  </w:footnote>
  <w:footnote w:id="15">
    <w:p w14:paraId="32AD30D6" w14:textId="5004472C" w:rsidR="00CC492A" w:rsidRPr="004F1BDF" w:rsidRDefault="00CC492A">
      <w:pPr>
        <w:pStyle w:val="Textonotapie"/>
        <w:rPr>
          <w:rFonts w:ascii="Garamond" w:hAnsi="Garamond"/>
          <w:lang w:val="en-US"/>
        </w:rPr>
      </w:pPr>
      <w:r w:rsidRPr="00AC1B36">
        <w:rPr>
          <w:rStyle w:val="Refdenotaalpie"/>
          <w:rFonts w:ascii="Garamond" w:hAnsi="Garamond"/>
        </w:rPr>
        <w:footnoteRef/>
      </w:r>
      <w:r w:rsidRPr="004F1BDF">
        <w:rPr>
          <w:rFonts w:ascii="Garamond" w:hAnsi="Garamond"/>
          <w:lang w:val="en-US"/>
        </w:rPr>
        <w:t xml:space="preserve"> The High-Level Group on Financial Supervision on EU, </w:t>
      </w:r>
      <w:r w:rsidRPr="004F1BDF">
        <w:rPr>
          <w:rFonts w:ascii="Garamond" w:hAnsi="Garamond"/>
          <w:i/>
          <w:lang w:val="en-US"/>
        </w:rPr>
        <w:t xml:space="preserve">Report </w:t>
      </w:r>
      <w:proofErr w:type="spellStart"/>
      <w:r w:rsidRPr="004F1BDF">
        <w:rPr>
          <w:rFonts w:ascii="Garamond" w:hAnsi="Garamond"/>
          <w:i/>
          <w:lang w:val="en-US"/>
        </w:rPr>
        <w:t>Larosière</w:t>
      </w:r>
      <w:proofErr w:type="spellEnd"/>
      <w:r w:rsidRPr="004F1BDF">
        <w:rPr>
          <w:rFonts w:ascii="Garamond" w:hAnsi="Garamond"/>
          <w:i/>
          <w:lang w:val="en-US"/>
        </w:rPr>
        <w:t xml:space="preserve"> </w:t>
      </w:r>
      <w:r w:rsidRPr="004F1BDF">
        <w:rPr>
          <w:rFonts w:ascii="Garamond" w:hAnsi="Garamond"/>
          <w:lang w:val="en-US"/>
        </w:rPr>
        <w:t>(2009),</w:t>
      </w:r>
      <w:r w:rsidRPr="004F1BDF">
        <w:rPr>
          <w:rFonts w:ascii="Garamond" w:hAnsi="Garamond"/>
          <w:i/>
          <w:lang w:val="en-US"/>
        </w:rPr>
        <w:t xml:space="preserve"> </w:t>
      </w:r>
      <w:r w:rsidRPr="004F1BDF">
        <w:rPr>
          <w:rFonts w:ascii="Garamond" w:hAnsi="Garamond"/>
          <w:lang w:val="en-US"/>
        </w:rPr>
        <w:t xml:space="preserve">European Commission. </w:t>
      </w:r>
    </w:p>
  </w:footnote>
  <w:footnote w:id="16">
    <w:p w14:paraId="38B92357" w14:textId="31077B16" w:rsidR="00CC492A" w:rsidRPr="00AC1B36" w:rsidRDefault="00CC492A" w:rsidP="003E3487">
      <w:pPr>
        <w:pStyle w:val="Textonotapie"/>
        <w:ind w:left="708" w:hanging="708"/>
        <w:rPr>
          <w:rFonts w:ascii="Garamond" w:hAnsi="Garamond" w:cs="Times New Roman"/>
        </w:rPr>
      </w:pPr>
      <w:r w:rsidRPr="00AC1B36">
        <w:rPr>
          <w:rStyle w:val="Refdenotaalpie"/>
          <w:rFonts w:ascii="Garamond" w:hAnsi="Garamond" w:cs="Times New Roman"/>
        </w:rPr>
        <w:footnoteRef/>
      </w:r>
      <w:r w:rsidRPr="00AC1B36">
        <w:rPr>
          <w:rFonts w:ascii="Garamond" w:hAnsi="Garamond" w:cs="Times New Roman"/>
        </w:rPr>
        <w:t xml:space="preserve"> Reglamento 1093/2010 del Parlamento Europeo y del Consejo, de 24 de noviembre de 2010</w:t>
      </w:r>
      <w:r>
        <w:rPr>
          <w:rFonts w:ascii="Garamond" w:hAnsi="Garamond" w:cs="Times New Roman"/>
        </w:rPr>
        <w:t xml:space="preserve"> (DOUE núm. 331, de 15 de diciembre)</w:t>
      </w:r>
      <w:r w:rsidRPr="00AC1B36">
        <w:rPr>
          <w:rFonts w:ascii="Garamond" w:hAnsi="Garamond" w:cs="Times New Roman"/>
        </w:rPr>
        <w:t>.</w:t>
      </w:r>
    </w:p>
  </w:footnote>
  <w:footnote w:id="17">
    <w:p w14:paraId="57482298" w14:textId="589CAB63" w:rsidR="00CC492A" w:rsidRPr="00AC1B36" w:rsidRDefault="00CC492A">
      <w:pPr>
        <w:pStyle w:val="Textonotapie"/>
        <w:rPr>
          <w:rFonts w:ascii="Garamond" w:hAnsi="Garamond"/>
        </w:rPr>
      </w:pPr>
      <w:r w:rsidRPr="00AC1B36">
        <w:rPr>
          <w:rStyle w:val="Refdenotaalpie"/>
          <w:rFonts w:ascii="Garamond" w:hAnsi="Garamond" w:cs="Times New Roman"/>
        </w:rPr>
        <w:footnoteRef/>
      </w:r>
      <w:r w:rsidRPr="00AC1B36">
        <w:rPr>
          <w:rFonts w:ascii="Garamond" w:hAnsi="Garamond" w:cs="Times New Roman"/>
        </w:rPr>
        <w:t xml:space="preserve"> Reglamento 1095/2010 del Parlamento Europeo y del Consejo, de 24 de noviembre de 2010.</w:t>
      </w:r>
    </w:p>
  </w:footnote>
  <w:footnote w:id="18">
    <w:p w14:paraId="48887F33" w14:textId="06377F8F" w:rsidR="00CC492A" w:rsidRDefault="00CC492A" w:rsidP="002D79AC">
      <w:pPr>
        <w:pStyle w:val="Textonotapie"/>
      </w:pPr>
      <w:r w:rsidRPr="00AC1B36">
        <w:rPr>
          <w:rStyle w:val="Refdenotaalpie"/>
          <w:rFonts w:ascii="Garamond" w:hAnsi="Garamond"/>
        </w:rPr>
        <w:footnoteRef/>
      </w:r>
      <w:r w:rsidRPr="00AC1B36">
        <w:rPr>
          <w:rFonts w:ascii="Garamond" w:hAnsi="Garamond"/>
        </w:rPr>
        <w:t xml:space="preserve"> </w:t>
      </w:r>
      <w:r w:rsidRPr="00AC1B36">
        <w:rPr>
          <w:rFonts w:ascii="Garamond" w:hAnsi="Garamond" w:cs="Times New Roman"/>
          <w:u w:val="single"/>
        </w:rPr>
        <w:t>Reglamento (UE) 1092/2010 del Parlamento Europeo y del Consejo</w:t>
      </w:r>
      <w:r w:rsidRPr="00AC1B36">
        <w:rPr>
          <w:rFonts w:ascii="Garamond" w:hAnsi="Garamond" w:cs="Times New Roman"/>
        </w:rPr>
        <w:t xml:space="preserve"> de 24 de noviembre de 2010 relativo a la supervisión </w:t>
      </w:r>
      <w:proofErr w:type="spellStart"/>
      <w:r w:rsidRPr="00AC1B36">
        <w:rPr>
          <w:rFonts w:ascii="Garamond" w:hAnsi="Garamond" w:cs="Times New Roman"/>
        </w:rPr>
        <w:t>macroprudencial</w:t>
      </w:r>
      <w:proofErr w:type="spellEnd"/>
      <w:r w:rsidRPr="00AC1B36">
        <w:rPr>
          <w:rFonts w:ascii="Garamond" w:hAnsi="Garamond" w:cs="Times New Roman"/>
        </w:rPr>
        <w:t xml:space="preserve"> del sistema financiero en la Unión Europea y por el que se crea una Junta Europea de Riesgo Sistémico; </w:t>
      </w:r>
      <w:r w:rsidRPr="00AC1B36">
        <w:rPr>
          <w:rFonts w:ascii="Garamond" w:hAnsi="Garamond" w:cs="Times New Roman"/>
          <w:u w:val="single"/>
        </w:rPr>
        <w:t>Reglamento (UE) 1096/2010 del Consejo</w:t>
      </w:r>
      <w:r w:rsidRPr="00AC1B36">
        <w:rPr>
          <w:rFonts w:ascii="Garamond" w:hAnsi="Garamond" w:cs="Times New Roman"/>
        </w:rPr>
        <w:t xml:space="preserve"> de 17 de noviembre de 2010 por el que se encomienda al Banco Central Europeo una serie de tareas específicas relacionadas con el funcionamiento de la Junta Europea de Riesgo Sistémico.</w:t>
      </w:r>
    </w:p>
  </w:footnote>
  <w:footnote w:id="19">
    <w:p w14:paraId="7FD42F7F" w14:textId="0A8152EE" w:rsidR="005518EB" w:rsidRDefault="005518EB">
      <w:pPr>
        <w:pStyle w:val="Textonotapie"/>
      </w:pPr>
      <w:r>
        <w:rPr>
          <w:rStyle w:val="Refdenotaalpie"/>
        </w:rPr>
        <w:footnoteRef/>
      </w:r>
      <w:r>
        <w:t xml:space="preserve"> En este sentido, resulta interesante el estudio de la Comisión Nacional de los Mercados y la Competencia: </w:t>
      </w:r>
      <w:r>
        <w:t>E</w:t>
      </w:r>
      <w:r>
        <w:t xml:space="preserve">studio sobre el Impacto en la Competencia de las nuevas tecnologías en el sector financiero (Fintech), 2018. </w:t>
      </w:r>
      <w:proofErr w:type="gramStart"/>
      <w:r>
        <w:t>Link</w:t>
      </w:r>
      <w:proofErr w:type="gramEnd"/>
      <w:r>
        <w:t xml:space="preserve">: </w:t>
      </w:r>
      <w:hyperlink r:id="rId2" w:history="1">
        <w:r>
          <w:rPr>
            <w:rStyle w:val="Hipervnculo"/>
          </w:rPr>
          <w:t>https://www.cnmc.es/sites/default/files/2173343_13.pdf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EB9D7" w14:textId="13A86E96" w:rsidR="00CC492A" w:rsidRDefault="00CC492A" w:rsidP="006F2409">
    <w:pPr>
      <w:pStyle w:val="Encabezado"/>
      <w:ind w:left="4252"/>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022E7"/>
    <w:multiLevelType w:val="hybridMultilevel"/>
    <w:tmpl w:val="E3ACC808"/>
    <w:lvl w:ilvl="0" w:tplc="F8DCA372">
      <w:start w:val="1"/>
      <w:numFmt w:val="decimal"/>
      <w:lvlText w:val="%1."/>
      <w:lvlJc w:val="left"/>
      <w:pPr>
        <w:ind w:left="360" w:hanging="360"/>
      </w:pPr>
      <w:rPr>
        <w:rFonts w:hint="default"/>
        <w:b/>
        <w:u w:val="none"/>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325A671B"/>
    <w:multiLevelType w:val="hybridMultilevel"/>
    <w:tmpl w:val="EDCA0C04"/>
    <w:lvl w:ilvl="0" w:tplc="0268ABD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7E974CF"/>
    <w:multiLevelType w:val="hybridMultilevel"/>
    <w:tmpl w:val="54D023AC"/>
    <w:lvl w:ilvl="0" w:tplc="81066064">
      <w:start w:val="3"/>
      <w:numFmt w:val="bullet"/>
      <w:lvlText w:val="-"/>
      <w:lvlJc w:val="left"/>
      <w:pPr>
        <w:ind w:left="720" w:hanging="360"/>
      </w:pPr>
      <w:rPr>
        <w:rFonts w:ascii="Times New Roman" w:eastAsiaTheme="minorHAnsi"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19929D9"/>
    <w:multiLevelType w:val="hybridMultilevel"/>
    <w:tmpl w:val="D2243390"/>
    <w:lvl w:ilvl="0" w:tplc="F1A00FC8">
      <w:start w:val="1"/>
      <w:numFmt w:val="decimal"/>
      <w:lvlText w:val="%1."/>
      <w:lvlJc w:val="left"/>
      <w:pPr>
        <w:ind w:left="360" w:hanging="360"/>
      </w:pPr>
      <w:rPr>
        <w:rFonts w:hint="default"/>
        <w:b/>
        <w:u w:val="none"/>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52F42B9D"/>
    <w:multiLevelType w:val="hybridMultilevel"/>
    <w:tmpl w:val="AD2E40F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7B165E4"/>
    <w:multiLevelType w:val="hybridMultilevel"/>
    <w:tmpl w:val="80D2736A"/>
    <w:lvl w:ilvl="0" w:tplc="DB44742E">
      <w:start w:val="1"/>
      <w:numFmt w:val="upperRoman"/>
      <w:lvlText w:val="%1."/>
      <w:lvlJc w:val="left"/>
      <w:pPr>
        <w:ind w:left="720" w:hanging="720"/>
      </w:pPr>
      <w:rPr>
        <w:rFonts w:hint="default"/>
      </w:rPr>
    </w:lvl>
    <w:lvl w:ilvl="1" w:tplc="289A0F96">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63020231"/>
    <w:multiLevelType w:val="hybridMultilevel"/>
    <w:tmpl w:val="604CBA3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6D0"/>
    <w:rsid w:val="00015778"/>
    <w:rsid w:val="00045207"/>
    <w:rsid w:val="00052E28"/>
    <w:rsid w:val="00082273"/>
    <w:rsid w:val="000852F5"/>
    <w:rsid w:val="00095EDA"/>
    <w:rsid w:val="000A185D"/>
    <w:rsid w:val="000A19EF"/>
    <w:rsid w:val="000A582E"/>
    <w:rsid w:val="000A72CD"/>
    <w:rsid w:val="000E5A6B"/>
    <w:rsid w:val="000F08A6"/>
    <w:rsid w:val="00102E8B"/>
    <w:rsid w:val="001136E7"/>
    <w:rsid w:val="00116CAC"/>
    <w:rsid w:val="001313BB"/>
    <w:rsid w:val="00153D19"/>
    <w:rsid w:val="0016446A"/>
    <w:rsid w:val="0018286B"/>
    <w:rsid w:val="001B278D"/>
    <w:rsid w:val="001B7911"/>
    <w:rsid w:val="001E72AA"/>
    <w:rsid w:val="00203D0F"/>
    <w:rsid w:val="00231D22"/>
    <w:rsid w:val="00236BB8"/>
    <w:rsid w:val="0026046A"/>
    <w:rsid w:val="0026240B"/>
    <w:rsid w:val="0027426A"/>
    <w:rsid w:val="00284BB5"/>
    <w:rsid w:val="002D79AC"/>
    <w:rsid w:val="002E5B9D"/>
    <w:rsid w:val="00325058"/>
    <w:rsid w:val="003370D9"/>
    <w:rsid w:val="003608CA"/>
    <w:rsid w:val="00361107"/>
    <w:rsid w:val="00367DD6"/>
    <w:rsid w:val="003929D1"/>
    <w:rsid w:val="00393797"/>
    <w:rsid w:val="003A5CBB"/>
    <w:rsid w:val="003B4259"/>
    <w:rsid w:val="003D4642"/>
    <w:rsid w:val="003E3487"/>
    <w:rsid w:val="003E6BFB"/>
    <w:rsid w:val="00405290"/>
    <w:rsid w:val="00406FA8"/>
    <w:rsid w:val="004201B9"/>
    <w:rsid w:val="00433331"/>
    <w:rsid w:val="00465B37"/>
    <w:rsid w:val="004776A5"/>
    <w:rsid w:val="00492767"/>
    <w:rsid w:val="0049746D"/>
    <w:rsid w:val="004E3034"/>
    <w:rsid w:val="004F1BDF"/>
    <w:rsid w:val="0051156F"/>
    <w:rsid w:val="005518EB"/>
    <w:rsid w:val="0056687F"/>
    <w:rsid w:val="00590290"/>
    <w:rsid w:val="00590C9B"/>
    <w:rsid w:val="00593BF2"/>
    <w:rsid w:val="005A1E92"/>
    <w:rsid w:val="005C6C5B"/>
    <w:rsid w:val="005D47A7"/>
    <w:rsid w:val="00604F21"/>
    <w:rsid w:val="0061652E"/>
    <w:rsid w:val="0063634B"/>
    <w:rsid w:val="00637A57"/>
    <w:rsid w:val="006447C9"/>
    <w:rsid w:val="006544FD"/>
    <w:rsid w:val="00657259"/>
    <w:rsid w:val="00672845"/>
    <w:rsid w:val="006B5668"/>
    <w:rsid w:val="006D1454"/>
    <w:rsid w:val="006D6DEC"/>
    <w:rsid w:val="006F11B9"/>
    <w:rsid w:val="006F2409"/>
    <w:rsid w:val="00712381"/>
    <w:rsid w:val="00715D84"/>
    <w:rsid w:val="00723B47"/>
    <w:rsid w:val="00740BEE"/>
    <w:rsid w:val="007440C1"/>
    <w:rsid w:val="0075302F"/>
    <w:rsid w:val="00756017"/>
    <w:rsid w:val="0076324A"/>
    <w:rsid w:val="00793DEE"/>
    <w:rsid w:val="007E4683"/>
    <w:rsid w:val="00800FC3"/>
    <w:rsid w:val="008053E4"/>
    <w:rsid w:val="00817968"/>
    <w:rsid w:val="008231EF"/>
    <w:rsid w:val="00846D45"/>
    <w:rsid w:val="008610AE"/>
    <w:rsid w:val="00886235"/>
    <w:rsid w:val="00887187"/>
    <w:rsid w:val="008955A8"/>
    <w:rsid w:val="008B106C"/>
    <w:rsid w:val="008B3904"/>
    <w:rsid w:val="008C0439"/>
    <w:rsid w:val="008C2194"/>
    <w:rsid w:val="008C65F6"/>
    <w:rsid w:val="009045DB"/>
    <w:rsid w:val="00944CBF"/>
    <w:rsid w:val="00963291"/>
    <w:rsid w:val="009721EC"/>
    <w:rsid w:val="009878AC"/>
    <w:rsid w:val="009B100B"/>
    <w:rsid w:val="009C2075"/>
    <w:rsid w:val="009C56D0"/>
    <w:rsid w:val="009F3478"/>
    <w:rsid w:val="00A0307A"/>
    <w:rsid w:val="00A13A6E"/>
    <w:rsid w:val="00A14219"/>
    <w:rsid w:val="00A235FD"/>
    <w:rsid w:val="00A3237B"/>
    <w:rsid w:val="00A40877"/>
    <w:rsid w:val="00A40F24"/>
    <w:rsid w:val="00A444DC"/>
    <w:rsid w:val="00A45793"/>
    <w:rsid w:val="00A4647A"/>
    <w:rsid w:val="00A510FE"/>
    <w:rsid w:val="00A65E3F"/>
    <w:rsid w:val="00A71A25"/>
    <w:rsid w:val="00A974C1"/>
    <w:rsid w:val="00AC1B36"/>
    <w:rsid w:val="00AC1D22"/>
    <w:rsid w:val="00AD053D"/>
    <w:rsid w:val="00AE6F2E"/>
    <w:rsid w:val="00B62A50"/>
    <w:rsid w:val="00B74F26"/>
    <w:rsid w:val="00BB1D4A"/>
    <w:rsid w:val="00BB52CE"/>
    <w:rsid w:val="00BC09CB"/>
    <w:rsid w:val="00C061E3"/>
    <w:rsid w:val="00C12128"/>
    <w:rsid w:val="00C1483F"/>
    <w:rsid w:val="00C20FB9"/>
    <w:rsid w:val="00C2252A"/>
    <w:rsid w:val="00C34A67"/>
    <w:rsid w:val="00C52A93"/>
    <w:rsid w:val="00C555DF"/>
    <w:rsid w:val="00C6505A"/>
    <w:rsid w:val="00C66B9E"/>
    <w:rsid w:val="00CC492A"/>
    <w:rsid w:val="00CD5B29"/>
    <w:rsid w:val="00CF2124"/>
    <w:rsid w:val="00D07567"/>
    <w:rsid w:val="00D11956"/>
    <w:rsid w:val="00D11CAD"/>
    <w:rsid w:val="00D27FF7"/>
    <w:rsid w:val="00D64CA5"/>
    <w:rsid w:val="00D66B23"/>
    <w:rsid w:val="00D71E4B"/>
    <w:rsid w:val="00D810D5"/>
    <w:rsid w:val="00D816B5"/>
    <w:rsid w:val="00D85156"/>
    <w:rsid w:val="00D929D2"/>
    <w:rsid w:val="00DC23D5"/>
    <w:rsid w:val="00E04C0B"/>
    <w:rsid w:val="00E10622"/>
    <w:rsid w:val="00E404FC"/>
    <w:rsid w:val="00E5476C"/>
    <w:rsid w:val="00E6704B"/>
    <w:rsid w:val="00E757CF"/>
    <w:rsid w:val="00E75864"/>
    <w:rsid w:val="00EA479E"/>
    <w:rsid w:val="00EC1405"/>
    <w:rsid w:val="00ED02D3"/>
    <w:rsid w:val="00ED74EA"/>
    <w:rsid w:val="00EE043D"/>
    <w:rsid w:val="00EF3B2C"/>
    <w:rsid w:val="00EF6635"/>
    <w:rsid w:val="00F46AE2"/>
    <w:rsid w:val="00F56FB1"/>
    <w:rsid w:val="00F65BDE"/>
    <w:rsid w:val="00F83AB8"/>
    <w:rsid w:val="00F87464"/>
    <w:rsid w:val="00FA7071"/>
    <w:rsid w:val="00FC76CA"/>
    <w:rsid w:val="00FD2FEE"/>
    <w:rsid w:val="00FD4E25"/>
    <w:rsid w:val="00FE48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207E2"/>
  <w15:chartTrackingRefBased/>
  <w15:docId w15:val="{018F55FD-0226-4DDE-9E1C-DE4BC8B8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16B5"/>
    <w:pPr>
      <w:jc w:val="both"/>
    </w:pPr>
    <w:rPr>
      <w:rFonts w:ascii="Book Antiqua" w:hAnsi="Book Antiqua"/>
    </w:rPr>
  </w:style>
  <w:style w:type="paragraph" w:styleId="Ttulo1">
    <w:name w:val="heading 1"/>
    <w:basedOn w:val="Normal"/>
    <w:next w:val="Normal"/>
    <w:link w:val="Ttulo1Car"/>
    <w:uiPriority w:val="9"/>
    <w:qFormat/>
    <w:rsid w:val="000157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157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7E46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24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F2409"/>
    <w:rPr>
      <w:rFonts w:ascii="Book Antiqua" w:hAnsi="Book Antiqua"/>
    </w:rPr>
  </w:style>
  <w:style w:type="paragraph" w:styleId="Piedepgina">
    <w:name w:val="footer"/>
    <w:basedOn w:val="Normal"/>
    <w:link w:val="PiedepginaCar"/>
    <w:uiPriority w:val="99"/>
    <w:unhideWhenUsed/>
    <w:rsid w:val="006F24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F2409"/>
    <w:rPr>
      <w:rFonts w:ascii="Book Antiqua" w:hAnsi="Book Antiqua"/>
    </w:rPr>
  </w:style>
  <w:style w:type="paragraph" w:styleId="Textonotapie">
    <w:name w:val="footnote text"/>
    <w:basedOn w:val="Normal"/>
    <w:link w:val="TextonotapieCar"/>
    <w:uiPriority w:val="99"/>
    <w:unhideWhenUsed/>
    <w:rsid w:val="006447C9"/>
    <w:pPr>
      <w:spacing w:after="0" w:line="240" w:lineRule="auto"/>
    </w:pPr>
    <w:rPr>
      <w:sz w:val="20"/>
      <w:szCs w:val="20"/>
    </w:rPr>
  </w:style>
  <w:style w:type="character" w:customStyle="1" w:styleId="TextonotapieCar">
    <w:name w:val="Texto nota pie Car"/>
    <w:basedOn w:val="Fuentedeprrafopredeter"/>
    <w:link w:val="Textonotapie"/>
    <w:uiPriority w:val="99"/>
    <w:rsid w:val="006447C9"/>
    <w:rPr>
      <w:rFonts w:ascii="Book Antiqua" w:hAnsi="Book Antiqua"/>
      <w:sz w:val="20"/>
      <w:szCs w:val="20"/>
    </w:rPr>
  </w:style>
  <w:style w:type="character" w:styleId="Refdenotaalpie">
    <w:name w:val="footnote reference"/>
    <w:basedOn w:val="Fuentedeprrafopredeter"/>
    <w:uiPriority w:val="99"/>
    <w:semiHidden/>
    <w:unhideWhenUsed/>
    <w:rsid w:val="006447C9"/>
    <w:rPr>
      <w:vertAlign w:val="superscript"/>
    </w:rPr>
  </w:style>
  <w:style w:type="character" w:styleId="Hipervnculo">
    <w:name w:val="Hyperlink"/>
    <w:basedOn w:val="Fuentedeprrafopredeter"/>
    <w:uiPriority w:val="99"/>
    <w:unhideWhenUsed/>
    <w:rsid w:val="00393797"/>
    <w:rPr>
      <w:color w:val="0000FF"/>
      <w:u w:val="single"/>
    </w:rPr>
  </w:style>
  <w:style w:type="paragraph" w:styleId="Sinespaciado">
    <w:name w:val="No Spacing"/>
    <w:link w:val="SinespaciadoCar"/>
    <w:uiPriority w:val="1"/>
    <w:qFormat/>
    <w:rsid w:val="00393797"/>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93797"/>
    <w:rPr>
      <w:rFonts w:eastAsiaTheme="minorEastAsia"/>
      <w:lang w:eastAsia="es-ES"/>
    </w:rPr>
  </w:style>
  <w:style w:type="character" w:customStyle="1" w:styleId="Ttulo1Car">
    <w:name w:val="Título 1 Car"/>
    <w:basedOn w:val="Fuentedeprrafopredeter"/>
    <w:link w:val="Ttulo1"/>
    <w:uiPriority w:val="9"/>
    <w:rsid w:val="00015778"/>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015778"/>
    <w:rPr>
      <w:rFonts w:asciiTheme="majorHAnsi" w:eastAsiaTheme="majorEastAsia" w:hAnsiTheme="majorHAnsi" w:cstheme="majorBidi"/>
      <w:color w:val="2F5496" w:themeColor="accent1" w:themeShade="BF"/>
      <w:sz w:val="26"/>
      <w:szCs w:val="26"/>
    </w:rPr>
  </w:style>
  <w:style w:type="paragraph" w:styleId="Lista">
    <w:name w:val="List"/>
    <w:basedOn w:val="Normal"/>
    <w:uiPriority w:val="99"/>
    <w:unhideWhenUsed/>
    <w:rsid w:val="00015778"/>
    <w:pPr>
      <w:ind w:left="283" w:hanging="283"/>
      <w:contextualSpacing/>
    </w:pPr>
  </w:style>
  <w:style w:type="paragraph" w:styleId="Ttulo">
    <w:name w:val="Title"/>
    <w:basedOn w:val="Normal"/>
    <w:next w:val="Normal"/>
    <w:link w:val="TtuloCar"/>
    <w:uiPriority w:val="10"/>
    <w:qFormat/>
    <w:rsid w:val="000157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15778"/>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015778"/>
    <w:pPr>
      <w:spacing w:after="120"/>
    </w:pPr>
  </w:style>
  <w:style w:type="character" w:customStyle="1" w:styleId="TextoindependienteCar">
    <w:name w:val="Texto independiente Car"/>
    <w:basedOn w:val="Fuentedeprrafopredeter"/>
    <w:link w:val="Textoindependiente"/>
    <w:uiPriority w:val="99"/>
    <w:rsid w:val="00015778"/>
    <w:rPr>
      <w:rFonts w:ascii="Book Antiqua" w:hAnsi="Book Antiqua"/>
    </w:rPr>
  </w:style>
  <w:style w:type="paragraph" w:styleId="Subttulo">
    <w:name w:val="Subtitle"/>
    <w:basedOn w:val="Normal"/>
    <w:next w:val="Normal"/>
    <w:link w:val="SubttuloCar"/>
    <w:uiPriority w:val="11"/>
    <w:qFormat/>
    <w:rsid w:val="00015778"/>
    <w:pPr>
      <w:numPr>
        <w:ilvl w:val="1"/>
      </w:numPr>
    </w:pPr>
    <w:rPr>
      <w:rFonts w:asciiTheme="minorHAnsi" w:eastAsiaTheme="minorEastAsia" w:hAnsiTheme="minorHAnsi"/>
      <w:color w:val="5A5A5A" w:themeColor="text1" w:themeTint="A5"/>
      <w:spacing w:val="15"/>
    </w:rPr>
  </w:style>
  <w:style w:type="character" w:customStyle="1" w:styleId="SubttuloCar">
    <w:name w:val="Subtítulo Car"/>
    <w:basedOn w:val="Fuentedeprrafopredeter"/>
    <w:link w:val="Subttulo"/>
    <w:uiPriority w:val="11"/>
    <w:rsid w:val="00015778"/>
    <w:rPr>
      <w:rFonts w:eastAsiaTheme="minorEastAsia"/>
      <w:color w:val="5A5A5A" w:themeColor="text1" w:themeTint="A5"/>
      <w:spacing w:val="15"/>
    </w:rPr>
  </w:style>
  <w:style w:type="paragraph" w:styleId="Textoindependienteprimerasangra">
    <w:name w:val="Body Text First Indent"/>
    <w:basedOn w:val="Textoindependiente"/>
    <w:link w:val="TextoindependienteprimerasangraCar"/>
    <w:uiPriority w:val="99"/>
    <w:unhideWhenUsed/>
    <w:rsid w:val="00015778"/>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015778"/>
    <w:rPr>
      <w:rFonts w:ascii="Book Antiqua" w:hAnsi="Book Antiqua"/>
    </w:rPr>
  </w:style>
  <w:style w:type="character" w:styleId="Textoennegrita">
    <w:name w:val="Strong"/>
    <w:basedOn w:val="Fuentedeprrafopredeter"/>
    <w:uiPriority w:val="22"/>
    <w:qFormat/>
    <w:rsid w:val="009045DB"/>
    <w:rPr>
      <w:b/>
      <w:bCs/>
    </w:rPr>
  </w:style>
  <w:style w:type="character" w:styleId="Hipervnculovisitado">
    <w:name w:val="FollowedHyperlink"/>
    <w:basedOn w:val="Fuentedeprrafopredeter"/>
    <w:uiPriority w:val="99"/>
    <w:semiHidden/>
    <w:unhideWhenUsed/>
    <w:rsid w:val="00095EDA"/>
    <w:rPr>
      <w:color w:val="954F72" w:themeColor="followedHyperlink"/>
      <w:u w:val="single"/>
    </w:rPr>
  </w:style>
  <w:style w:type="paragraph" w:styleId="Prrafodelista">
    <w:name w:val="List Paragraph"/>
    <w:basedOn w:val="Normal"/>
    <w:uiPriority w:val="34"/>
    <w:qFormat/>
    <w:rsid w:val="00C555DF"/>
    <w:pPr>
      <w:ind w:left="720"/>
      <w:contextualSpacing/>
    </w:pPr>
  </w:style>
  <w:style w:type="character" w:customStyle="1" w:styleId="Mencinsinresolver1">
    <w:name w:val="Mención sin resolver1"/>
    <w:basedOn w:val="Fuentedeprrafopredeter"/>
    <w:uiPriority w:val="99"/>
    <w:semiHidden/>
    <w:unhideWhenUsed/>
    <w:rsid w:val="00E04C0B"/>
    <w:rPr>
      <w:color w:val="605E5C"/>
      <w:shd w:val="clear" w:color="auto" w:fill="E1DFDD"/>
    </w:rPr>
  </w:style>
  <w:style w:type="character" w:customStyle="1" w:styleId="Ttulo3Car">
    <w:name w:val="Título 3 Car"/>
    <w:basedOn w:val="Fuentedeprrafopredeter"/>
    <w:link w:val="Ttulo3"/>
    <w:uiPriority w:val="9"/>
    <w:semiHidden/>
    <w:rsid w:val="007E4683"/>
    <w:rPr>
      <w:rFonts w:asciiTheme="majorHAnsi" w:eastAsiaTheme="majorEastAsia" w:hAnsiTheme="majorHAnsi" w:cstheme="majorBidi"/>
      <w:color w:val="1F3763" w:themeColor="accent1" w:themeShade="7F"/>
      <w:sz w:val="24"/>
      <w:szCs w:val="24"/>
    </w:rPr>
  </w:style>
  <w:style w:type="character" w:styleId="Refdecomentario">
    <w:name w:val="annotation reference"/>
    <w:basedOn w:val="Fuentedeprrafopredeter"/>
    <w:uiPriority w:val="99"/>
    <w:semiHidden/>
    <w:unhideWhenUsed/>
    <w:rsid w:val="004F1BDF"/>
    <w:rPr>
      <w:sz w:val="16"/>
      <w:szCs w:val="16"/>
    </w:rPr>
  </w:style>
  <w:style w:type="paragraph" w:styleId="Textocomentario">
    <w:name w:val="annotation text"/>
    <w:basedOn w:val="Normal"/>
    <w:link w:val="TextocomentarioCar"/>
    <w:uiPriority w:val="99"/>
    <w:semiHidden/>
    <w:unhideWhenUsed/>
    <w:rsid w:val="004F1B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1BDF"/>
    <w:rPr>
      <w:rFonts w:ascii="Book Antiqua" w:hAnsi="Book Antiqua"/>
      <w:sz w:val="20"/>
      <w:szCs w:val="20"/>
    </w:rPr>
  </w:style>
  <w:style w:type="paragraph" w:styleId="Asuntodelcomentario">
    <w:name w:val="annotation subject"/>
    <w:basedOn w:val="Textocomentario"/>
    <w:next w:val="Textocomentario"/>
    <w:link w:val="AsuntodelcomentarioCar"/>
    <w:uiPriority w:val="99"/>
    <w:semiHidden/>
    <w:unhideWhenUsed/>
    <w:rsid w:val="004F1BDF"/>
    <w:rPr>
      <w:b/>
      <w:bCs/>
    </w:rPr>
  </w:style>
  <w:style w:type="character" w:customStyle="1" w:styleId="AsuntodelcomentarioCar">
    <w:name w:val="Asunto del comentario Car"/>
    <w:basedOn w:val="TextocomentarioCar"/>
    <w:link w:val="Asuntodelcomentario"/>
    <w:uiPriority w:val="99"/>
    <w:semiHidden/>
    <w:rsid w:val="004F1BDF"/>
    <w:rPr>
      <w:rFonts w:ascii="Book Antiqua" w:hAnsi="Book Antiqua"/>
      <w:b/>
      <w:bCs/>
      <w:sz w:val="20"/>
      <w:szCs w:val="20"/>
    </w:rPr>
  </w:style>
  <w:style w:type="paragraph" w:styleId="Revisin">
    <w:name w:val="Revision"/>
    <w:hidden/>
    <w:uiPriority w:val="99"/>
    <w:semiHidden/>
    <w:rsid w:val="004F1BDF"/>
    <w:pPr>
      <w:spacing w:after="0" w:line="240" w:lineRule="auto"/>
    </w:pPr>
    <w:rPr>
      <w:rFonts w:ascii="Book Antiqua" w:hAnsi="Book Antiqua"/>
    </w:rPr>
  </w:style>
  <w:style w:type="paragraph" w:styleId="Textodeglobo">
    <w:name w:val="Balloon Text"/>
    <w:basedOn w:val="Normal"/>
    <w:link w:val="TextodegloboCar"/>
    <w:uiPriority w:val="99"/>
    <w:semiHidden/>
    <w:unhideWhenUsed/>
    <w:rsid w:val="004F1B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1B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5400">
      <w:bodyDiv w:val="1"/>
      <w:marLeft w:val="0"/>
      <w:marRight w:val="0"/>
      <w:marTop w:val="0"/>
      <w:marBottom w:val="0"/>
      <w:divBdr>
        <w:top w:val="none" w:sz="0" w:space="0" w:color="auto"/>
        <w:left w:val="none" w:sz="0" w:space="0" w:color="auto"/>
        <w:bottom w:val="none" w:sz="0" w:space="0" w:color="auto"/>
        <w:right w:val="none" w:sz="0" w:space="0" w:color="auto"/>
      </w:divBdr>
      <w:divsChild>
        <w:div w:id="61871959">
          <w:marLeft w:val="0"/>
          <w:marRight w:val="0"/>
          <w:marTop w:val="0"/>
          <w:marBottom w:val="0"/>
          <w:divBdr>
            <w:top w:val="none" w:sz="0" w:space="0" w:color="auto"/>
            <w:left w:val="none" w:sz="0" w:space="0" w:color="auto"/>
            <w:bottom w:val="none" w:sz="0" w:space="0" w:color="auto"/>
            <w:right w:val="none" w:sz="0" w:space="0" w:color="auto"/>
          </w:divBdr>
        </w:div>
        <w:div w:id="1666203648">
          <w:marLeft w:val="0"/>
          <w:marRight w:val="0"/>
          <w:marTop w:val="0"/>
          <w:marBottom w:val="0"/>
          <w:divBdr>
            <w:top w:val="none" w:sz="0" w:space="0" w:color="auto"/>
            <w:left w:val="none" w:sz="0" w:space="0" w:color="auto"/>
            <w:bottom w:val="none" w:sz="0" w:space="0" w:color="auto"/>
            <w:right w:val="none" w:sz="0" w:space="0" w:color="auto"/>
          </w:divBdr>
        </w:div>
        <w:div w:id="1437746776">
          <w:marLeft w:val="0"/>
          <w:marRight w:val="0"/>
          <w:marTop w:val="0"/>
          <w:marBottom w:val="0"/>
          <w:divBdr>
            <w:top w:val="none" w:sz="0" w:space="0" w:color="auto"/>
            <w:left w:val="none" w:sz="0" w:space="0" w:color="auto"/>
            <w:bottom w:val="none" w:sz="0" w:space="0" w:color="auto"/>
            <w:right w:val="none" w:sz="0" w:space="0" w:color="auto"/>
          </w:divBdr>
        </w:div>
        <w:div w:id="953049875">
          <w:marLeft w:val="0"/>
          <w:marRight w:val="0"/>
          <w:marTop w:val="0"/>
          <w:marBottom w:val="0"/>
          <w:divBdr>
            <w:top w:val="none" w:sz="0" w:space="0" w:color="auto"/>
            <w:left w:val="none" w:sz="0" w:space="0" w:color="auto"/>
            <w:bottom w:val="none" w:sz="0" w:space="0" w:color="auto"/>
            <w:right w:val="none" w:sz="0" w:space="0" w:color="auto"/>
          </w:divBdr>
        </w:div>
        <w:div w:id="1726298662">
          <w:marLeft w:val="0"/>
          <w:marRight w:val="0"/>
          <w:marTop w:val="0"/>
          <w:marBottom w:val="0"/>
          <w:divBdr>
            <w:top w:val="none" w:sz="0" w:space="0" w:color="auto"/>
            <w:left w:val="none" w:sz="0" w:space="0" w:color="auto"/>
            <w:bottom w:val="none" w:sz="0" w:space="0" w:color="auto"/>
            <w:right w:val="none" w:sz="0" w:space="0" w:color="auto"/>
          </w:divBdr>
        </w:div>
        <w:div w:id="1541016941">
          <w:marLeft w:val="0"/>
          <w:marRight w:val="0"/>
          <w:marTop w:val="0"/>
          <w:marBottom w:val="0"/>
          <w:divBdr>
            <w:top w:val="none" w:sz="0" w:space="0" w:color="auto"/>
            <w:left w:val="none" w:sz="0" w:space="0" w:color="auto"/>
            <w:bottom w:val="none" w:sz="0" w:space="0" w:color="auto"/>
            <w:right w:val="none" w:sz="0" w:space="0" w:color="auto"/>
          </w:divBdr>
        </w:div>
        <w:div w:id="699166878">
          <w:marLeft w:val="0"/>
          <w:marRight w:val="0"/>
          <w:marTop w:val="0"/>
          <w:marBottom w:val="0"/>
          <w:divBdr>
            <w:top w:val="none" w:sz="0" w:space="0" w:color="auto"/>
            <w:left w:val="none" w:sz="0" w:space="0" w:color="auto"/>
            <w:bottom w:val="none" w:sz="0" w:space="0" w:color="auto"/>
            <w:right w:val="none" w:sz="0" w:space="0" w:color="auto"/>
          </w:divBdr>
        </w:div>
      </w:divsChild>
    </w:div>
    <w:div w:id="403993743">
      <w:bodyDiv w:val="1"/>
      <w:marLeft w:val="0"/>
      <w:marRight w:val="0"/>
      <w:marTop w:val="0"/>
      <w:marBottom w:val="0"/>
      <w:divBdr>
        <w:top w:val="none" w:sz="0" w:space="0" w:color="auto"/>
        <w:left w:val="none" w:sz="0" w:space="0" w:color="auto"/>
        <w:bottom w:val="none" w:sz="0" w:space="0" w:color="auto"/>
        <w:right w:val="none" w:sz="0" w:space="0" w:color="auto"/>
      </w:divBdr>
    </w:div>
    <w:div w:id="750273158">
      <w:bodyDiv w:val="1"/>
      <w:marLeft w:val="0"/>
      <w:marRight w:val="0"/>
      <w:marTop w:val="0"/>
      <w:marBottom w:val="0"/>
      <w:divBdr>
        <w:top w:val="none" w:sz="0" w:space="0" w:color="auto"/>
        <w:left w:val="none" w:sz="0" w:space="0" w:color="auto"/>
        <w:bottom w:val="none" w:sz="0" w:space="0" w:color="auto"/>
        <w:right w:val="none" w:sz="0" w:space="0" w:color="auto"/>
      </w:divBdr>
      <w:divsChild>
        <w:div w:id="1215387239">
          <w:marLeft w:val="0"/>
          <w:marRight w:val="0"/>
          <w:marTop w:val="0"/>
          <w:marBottom w:val="0"/>
          <w:divBdr>
            <w:top w:val="none" w:sz="0" w:space="0" w:color="auto"/>
            <w:left w:val="none" w:sz="0" w:space="0" w:color="auto"/>
            <w:bottom w:val="none" w:sz="0" w:space="0" w:color="auto"/>
            <w:right w:val="none" w:sz="0" w:space="0" w:color="auto"/>
          </w:divBdr>
        </w:div>
        <w:div w:id="1253391600">
          <w:marLeft w:val="0"/>
          <w:marRight w:val="0"/>
          <w:marTop w:val="0"/>
          <w:marBottom w:val="0"/>
          <w:divBdr>
            <w:top w:val="none" w:sz="0" w:space="0" w:color="auto"/>
            <w:left w:val="none" w:sz="0" w:space="0" w:color="auto"/>
            <w:bottom w:val="none" w:sz="0" w:space="0" w:color="auto"/>
            <w:right w:val="none" w:sz="0" w:space="0" w:color="auto"/>
          </w:divBdr>
        </w:div>
        <w:div w:id="1450313830">
          <w:marLeft w:val="0"/>
          <w:marRight w:val="0"/>
          <w:marTop w:val="0"/>
          <w:marBottom w:val="0"/>
          <w:divBdr>
            <w:top w:val="none" w:sz="0" w:space="0" w:color="auto"/>
            <w:left w:val="none" w:sz="0" w:space="0" w:color="auto"/>
            <w:bottom w:val="none" w:sz="0" w:space="0" w:color="auto"/>
            <w:right w:val="none" w:sz="0" w:space="0" w:color="auto"/>
          </w:divBdr>
        </w:div>
      </w:divsChild>
    </w:div>
    <w:div w:id="955870143">
      <w:bodyDiv w:val="1"/>
      <w:marLeft w:val="0"/>
      <w:marRight w:val="0"/>
      <w:marTop w:val="0"/>
      <w:marBottom w:val="0"/>
      <w:divBdr>
        <w:top w:val="none" w:sz="0" w:space="0" w:color="auto"/>
        <w:left w:val="none" w:sz="0" w:space="0" w:color="auto"/>
        <w:bottom w:val="none" w:sz="0" w:space="0" w:color="auto"/>
        <w:right w:val="none" w:sz="0" w:space="0" w:color="auto"/>
      </w:divBdr>
    </w:div>
    <w:div w:id="988704594">
      <w:bodyDiv w:val="1"/>
      <w:marLeft w:val="0"/>
      <w:marRight w:val="0"/>
      <w:marTop w:val="0"/>
      <w:marBottom w:val="0"/>
      <w:divBdr>
        <w:top w:val="none" w:sz="0" w:space="0" w:color="auto"/>
        <w:left w:val="none" w:sz="0" w:space="0" w:color="auto"/>
        <w:bottom w:val="none" w:sz="0" w:space="0" w:color="auto"/>
        <w:right w:val="none" w:sz="0" w:space="0" w:color="auto"/>
      </w:divBdr>
    </w:div>
    <w:div w:id="1001199770">
      <w:bodyDiv w:val="1"/>
      <w:marLeft w:val="0"/>
      <w:marRight w:val="0"/>
      <w:marTop w:val="0"/>
      <w:marBottom w:val="0"/>
      <w:divBdr>
        <w:top w:val="none" w:sz="0" w:space="0" w:color="auto"/>
        <w:left w:val="none" w:sz="0" w:space="0" w:color="auto"/>
        <w:bottom w:val="none" w:sz="0" w:space="0" w:color="auto"/>
        <w:right w:val="none" w:sz="0" w:space="0" w:color="auto"/>
      </w:divBdr>
    </w:div>
    <w:div w:id="1238321411">
      <w:bodyDiv w:val="1"/>
      <w:marLeft w:val="0"/>
      <w:marRight w:val="0"/>
      <w:marTop w:val="0"/>
      <w:marBottom w:val="0"/>
      <w:divBdr>
        <w:top w:val="none" w:sz="0" w:space="0" w:color="auto"/>
        <w:left w:val="none" w:sz="0" w:space="0" w:color="auto"/>
        <w:bottom w:val="none" w:sz="0" w:space="0" w:color="auto"/>
        <w:right w:val="none" w:sz="0" w:space="0" w:color="auto"/>
      </w:divBdr>
    </w:div>
    <w:div w:id="1497529655">
      <w:bodyDiv w:val="1"/>
      <w:marLeft w:val="0"/>
      <w:marRight w:val="0"/>
      <w:marTop w:val="0"/>
      <w:marBottom w:val="0"/>
      <w:divBdr>
        <w:top w:val="none" w:sz="0" w:space="0" w:color="auto"/>
        <w:left w:val="none" w:sz="0" w:space="0" w:color="auto"/>
        <w:bottom w:val="none" w:sz="0" w:space="0" w:color="auto"/>
        <w:right w:val="none" w:sz="0" w:space="0" w:color="auto"/>
      </w:divBdr>
    </w:div>
    <w:div w:id="1630475504">
      <w:bodyDiv w:val="1"/>
      <w:marLeft w:val="0"/>
      <w:marRight w:val="0"/>
      <w:marTop w:val="0"/>
      <w:marBottom w:val="0"/>
      <w:divBdr>
        <w:top w:val="none" w:sz="0" w:space="0" w:color="auto"/>
        <w:left w:val="none" w:sz="0" w:space="0" w:color="auto"/>
        <w:bottom w:val="none" w:sz="0" w:space="0" w:color="auto"/>
        <w:right w:val="none" w:sz="0" w:space="0" w:color="auto"/>
      </w:divBdr>
    </w:div>
    <w:div w:id="170571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is.org/bcbs/publ/d424_e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s.org/publ/bcbs128_es.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de.es/f/webbde/SPA/sispago/t2/modelos_t2/ficheros/es/Implantacion_y_validacion_de_enfoques_avanzados_de_Basilea.pdf" TargetMode="External"/><Relationship Id="rId5" Type="http://schemas.openxmlformats.org/officeDocument/2006/relationships/webSettings" Target="webSettings.xml"/><Relationship Id="rId15" Type="http://schemas.openxmlformats.org/officeDocument/2006/relationships/hyperlink" Target="http://ec.europa.eu/transparency/regdoc/rep/1/2017/ES/COM-2017-592-F1-ES-MAIN-PART-1.PDF" TargetMode="External"/><Relationship Id="rId10" Type="http://schemas.openxmlformats.org/officeDocument/2006/relationships/hyperlink" Target="https://www.bde.es/f/webbde/Secciones/Publicaciones/InformesBoletinesRevistas/RevistaEstabilidadFinanciera/08/Nov/Fic/ief0515.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sma.europa.eu/sites/default/files/library/2015/11/lamfalussy_report.pdf" TargetMode="External"/><Relationship Id="rId14" Type="http://schemas.openxmlformats.org/officeDocument/2006/relationships/hyperlink" Target="https://www.pwc.es/es/publicaciones/financiero-seguros/assets/informe-union-bancaria-2017.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nmc.es/sites/default/files/2173343_13.pdf" TargetMode="External"/><Relationship Id="rId1" Type="http://schemas.openxmlformats.org/officeDocument/2006/relationships/hyperlink" Target="https://www.bde.es/f/webbde/GAP/Secciones/SalaPrensa/NotasInformativas/18/presbe2018_6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3B365-10AF-4CC0-A662-DACFF90B9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6858</TotalTime>
  <Pages>15</Pages>
  <Words>5669</Words>
  <Characters>31184</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gutierrez guijarro</dc:creator>
  <cp:keywords/>
  <dc:description/>
  <cp:lastModifiedBy>antonio gutierrez guijarro</cp:lastModifiedBy>
  <cp:revision>7</cp:revision>
  <cp:lastPrinted>2019-06-17T07:48:00Z</cp:lastPrinted>
  <dcterms:created xsi:type="dcterms:W3CDTF">2019-07-01T07:50:00Z</dcterms:created>
  <dcterms:modified xsi:type="dcterms:W3CDTF">2019-09-28T08:51:00Z</dcterms:modified>
</cp:coreProperties>
</file>